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4943F50" w:rsidR="001701D4"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6C1676">
        <w:rPr>
          <w:rFonts w:cs="Arial"/>
        </w:rPr>
        <w:t>INITIAL</w:t>
      </w:r>
      <w:r w:rsidR="00E3790F" w:rsidRPr="00AD67B3">
        <w:rPr>
          <w:rFonts w:cs="Arial"/>
        </w:rPr>
        <w:t xml:space="preserve"> </w:t>
      </w:r>
      <w:r w:rsidR="000257AD" w:rsidRPr="00AD67B3">
        <w:rPr>
          <w:rFonts w:cs="Arial"/>
        </w:rPr>
        <w:t>EXPRESS TERMS</w:t>
      </w:r>
      <w:r w:rsidR="004F291C">
        <w:rPr>
          <w:rFonts w:cs="Arial"/>
        </w:rPr>
        <w:t xml:space="preserve"> </w:t>
      </w:r>
      <w:r w:rsidR="004F291C" w:rsidRPr="004F291C">
        <w:rPr>
          <w:rFonts w:cs="Arial"/>
        </w:rPr>
        <w:t>AND RATIONALE</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3B1493">
        <w:rPr>
          <w:rFonts w:cs="Arial"/>
        </w:rPr>
        <w:t xml:space="preserve">OFFICE OF THE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E02274">
        <w:rPr>
          <w:rStyle w:val="TitleChar"/>
          <w:rFonts w:cs="Arial"/>
          <w:b/>
        </w:rPr>
        <w:t>FIRE</w:t>
      </w:r>
      <w:r w:rsidR="00D5409C">
        <w:rPr>
          <w:rStyle w:val="TitleChar"/>
          <w:rFonts w:cs="Arial"/>
          <w:b/>
        </w:rPr>
        <w:t xml:space="preserve"> CODE</w:t>
      </w:r>
      <w:r w:rsidR="002A55E0" w:rsidRPr="00AD67B3">
        <w:rPr>
          <w:rFonts w:cs="Arial"/>
        </w:rPr>
        <w:t>,</w:t>
      </w:r>
      <w:r w:rsidR="00233758">
        <w:rPr>
          <w:rFonts w:cs="Arial"/>
        </w:rPr>
        <w:br/>
      </w:r>
      <w:r w:rsidR="000257AD" w:rsidRPr="00AD67B3">
        <w:rPr>
          <w:rFonts w:cs="Arial"/>
        </w:rPr>
        <w:t xml:space="preserve">CALIFORNIA CODE OF REGULATIONS, TITLE 24, PART </w:t>
      </w:r>
      <w:r w:rsidR="00E02274">
        <w:rPr>
          <w:rFonts w:cs="Arial"/>
        </w:rPr>
        <w:t>9</w:t>
      </w:r>
    </w:p>
    <w:p w14:paraId="5A0C8502" w14:textId="6CC2432C" w:rsidR="00704C9C" w:rsidRPr="00AD67B3" w:rsidRDefault="001701D4" w:rsidP="00233758">
      <w:pPr>
        <w:pStyle w:val="Heading2"/>
        <w:jc w:val="center"/>
      </w:pPr>
      <w:r w:rsidRPr="00AD67B3">
        <w:t>(</w:t>
      </w:r>
      <w:r w:rsidR="00D5409C">
        <w:t xml:space="preserve">SFM </w:t>
      </w:r>
      <w:r w:rsidR="00F11A5D">
        <w:rPr>
          <w:szCs w:val="24"/>
        </w:rPr>
        <w:t>0</w:t>
      </w:r>
      <w:r w:rsidR="00E02274">
        <w:rPr>
          <w:szCs w:val="24"/>
        </w:rPr>
        <w:t>7</w:t>
      </w:r>
      <w:r w:rsidR="00846A63">
        <w:rPr>
          <w:szCs w:val="24"/>
        </w:rPr>
        <w:t>/</w:t>
      </w:r>
      <w:r w:rsidR="00F11A5D">
        <w:rPr>
          <w:szCs w:val="24"/>
        </w:rPr>
        <w:t>22</w:t>
      </w:r>
      <w:r w:rsidRPr="00AD67B3">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5A6F0BC8" w:rsidR="002F066A" w:rsidRPr="00AD67B3" w:rsidRDefault="002F066A" w:rsidP="00C57320">
      <w:pPr>
        <w:pStyle w:val="ListParagraph"/>
        <w:numPr>
          <w:ilvl w:val="0"/>
          <w:numId w:val="5"/>
        </w:numPr>
        <w:rPr>
          <w:rFonts w:ascii="Arial" w:hAnsi="Arial" w:cs="Arial"/>
        </w:rPr>
      </w:pPr>
      <w:r w:rsidRPr="00AD67B3">
        <w:rPr>
          <w:rFonts w:ascii="Arial" w:hAnsi="Arial" w:cs="Arial"/>
        </w:rPr>
        <w:t>Ellips</w:t>
      </w:r>
      <w:r w:rsidR="001B1143">
        <w:rPr>
          <w:rFonts w:ascii="Arial" w:hAnsi="Arial" w:cs="Arial"/>
        </w:rPr>
        <w:t>e</w:t>
      </w:r>
      <w:r w:rsidRPr="00AD67B3">
        <w:rPr>
          <w:rFonts w:ascii="Arial" w:hAnsi="Arial" w:cs="Arial"/>
        </w:rPr>
        <w:t xml:space="preserve">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78063B6B" w14:textId="3EE16F89" w:rsidR="00AF5F18" w:rsidRPr="004F291C" w:rsidRDefault="0027688C" w:rsidP="00306A4D">
      <w:pPr>
        <w:pStyle w:val="Heading2"/>
        <w:spacing w:after="240"/>
      </w:pPr>
      <w:r>
        <w:t xml:space="preserve">ADDENDUM to </w:t>
      </w:r>
      <w:r w:rsidR="006C1676">
        <w:t>INITIAL</w:t>
      </w:r>
      <w:r w:rsidR="006D74C1" w:rsidRPr="0027688C">
        <w:t xml:space="preserve"> </w:t>
      </w:r>
      <w:r w:rsidR="000257AD" w:rsidRPr="0027688C">
        <w:t>EXPRESS TERMS</w:t>
      </w:r>
      <w:r w:rsidR="004F291C">
        <w:t xml:space="preserve"> and</w:t>
      </w:r>
      <w:r w:rsidR="004F291C" w:rsidRPr="004F291C">
        <w:t xml:space="preserve"> RATIONALE</w:t>
      </w:r>
    </w:p>
    <w:p w14:paraId="5636D053" w14:textId="459A5868" w:rsidR="00AF5F18" w:rsidRPr="00AF5F18" w:rsidRDefault="00AF5F18" w:rsidP="00107079">
      <w:pPr>
        <w:pStyle w:val="Heading3"/>
        <w:rPr>
          <w:noProof/>
        </w:rPr>
      </w:pPr>
      <w:r w:rsidRPr="00AF5F18">
        <w:t xml:space="preserve">ITEM </w:t>
      </w:r>
      <w:r w:rsidR="00194BBC">
        <w:t>1</w:t>
      </w:r>
      <w:r w:rsidR="00FF3698">
        <w:t>7</w:t>
      </w:r>
      <w:r w:rsidRPr="00AF5F18">
        <w:br/>
      </w:r>
      <w:r w:rsidR="009B5894">
        <w:t>ERRATA</w:t>
      </w:r>
    </w:p>
    <w:p w14:paraId="79FD9D71" w14:textId="228A7C77" w:rsidR="008339E5" w:rsidRPr="000F221D" w:rsidRDefault="004B0E1C" w:rsidP="000F221D">
      <w:pPr>
        <w:spacing w:before="120" w:after="240"/>
        <w:rPr>
          <w:rFonts w:cs="Arial"/>
          <w:szCs w:val="24"/>
        </w:rPr>
      </w:pPr>
      <w:r w:rsidRPr="009B585A">
        <w:rPr>
          <w:rFonts w:cs="Arial"/>
          <w:szCs w:val="24"/>
        </w:rPr>
        <w:t xml:space="preserve">[The SFM </w:t>
      </w:r>
      <w:r w:rsidR="00677AA2">
        <w:rPr>
          <w:rFonts w:cs="Arial"/>
          <w:szCs w:val="24"/>
        </w:rPr>
        <w:t>is proposing errata to the 2022 California Building</w:t>
      </w:r>
      <w:r w:rsidR="008F7C83">
        <w:rPr>
          <w:rFonts w:cs="Arial"/>
          <w:szCs w:val="24"/>
        </w:rPr>
        <w:t xml:space="preserve"> Standards Code</w:t>
      </w:r>
      <w:r w:rsidRPr="009B585A">
        <w:rPr>
          <w:rFonts w:cs="Arial"/>
          <w:szCs w:val="24"/>
        </w:rPr>
        <w:t>.]</w:t>
      </w:r>
    </w:p>
    <w:p w14:paraId="5D7F9A68" w14:textId="04964D0C" w:rsidR="00262B8D" w:rsidRPr="00262B8D" w:rsidRDefault="00262B8D" w:rsidP="003545F9">
      <w:pPr>
        <w:rPr>
          <w:rFonts w:ascii="Arial" w:hAnsi="Arial" w:cs="Arial"/>
          <w:b/>
          <w:bCs/>
          <w:szCs w:val="24"/>
        </w:rPr>
      </w:pPr>
      <w:r w:rsidRPr="00262B8D">
        <w:rPr>
          <w:rFonts w:ascii="Arial" w:hAnsi="Arial" w:cs="Arial"/>
          <w:b/>
          <w:bCs/>
          <w:szCs w:val="24"/>
        </w:rPr>
        <w:t>805.2.1.2 Heat release rate</w:t>
      </w:r>
      <w:r w:rsidRPr="00262B8D">
        <w:rPr>
          <w:rFonts w:ascii="Arial" w:hAnsi="Arial" w:cs="Arial"/>
          <w:szCs w:val="24"/>
        </w:rPr>
        <w:t>.</w:t>
      </w:r>
      <w:r w:rsidR="003545F9">
        <w:rPr>
          <w:rFonts w:ascii="Arial" w:hAnsi="Arial" w:cs="Arial"/>
          <w:szCs w:val="24"/>
        </w:rPr>
        <w:t xml:space="preserve"> </w:t>
      </w:r>
      <w:r w:rsidRPr="00262B8D">
        <w:rPr>
          <w:rFonts w:ascii="Arial" w:hAnsi="Arial" w:cs="Arial"/>
          <w:szCs w:val="24"/>
        </w:rPr>
        <w:t xml:space="preserve">Newly introduced upholstered furniture shall have limited rates of heat release when tested in accordance with ASTM E1537 or California Technical Bulletin </w:t>
      </w:r>
      <w:r w:rsidRPr="00262B8D">
        <w:rPr>
          <w:rFonts w:ascii="Arial" w:hAnsi="Arial" w:cs="Arial"/>
          <w:strike/>
          <w:szCs w:val="24"/>
        </w:rPr>
        <w:t>133</w:t>
      </w:r>
      <w:r w:rsidR="00353330">
        <w:rPr>
          <w:rFonts w:ascii="Arial" w:hAnsi="Arial" w:cs="Arial"/>
          <w:szCs w:val="24"/>
        </w:rPr>
        <w:t xml:space="preserve"> </w:t>
      </w:r>
      <w:r w:rsidR="00353330" w:rsidRPr="00353330">
        <w:rPr>
          <w:rFonts w:ascii="Arial" w:hAnsi="Arial" w:cs="Arial"/>
          <w:i/>
          <w:iCs/>
          <w:szCs w:val="24"/>
          <w:u w:val="single"/>
        </w:rPr>
        <w:t>116 and 117</w:t>
      </w:r>
      <w:r w:rsidRPr="00262B8D">
        <w:rPr>
          <w:rFonts w:ascii="Arial" w:hAnsi="Arial" w:cs="Arial"/>
          <w:i/>
          <w:iCs/>
          <w:szCs w:val="24"/>
          <w:u w:val="single"/>
        </w:rPr>
        <w:t>,</w:t>
      </w:r>
      <w:r w:rsidRPr="00262B8D">
        <w:rPr>
          <w:rFonts w:ascii="Arial" w:hAnsi="Arial" w:cs="Arial"/>
          <w:szCs w:val="24"/>
        </w:rPr>
        <w:t xml:space="preserve"> as follows:</w:t>
      </w:r>
    </w:p>
    <w:p w14:paraId="03536DC3" w14:textId="77777777" w:rsidR="00262B8D" w:rsidRPr="00262B8D" w:rsidRDefault="00262B8D" w:rsidP="003545F9">
      <w:pPr>
        <w:ind w:left="720"/>
        <w:rPr>
          <w:rFonts w:ascii="Arial" w:hAnsi="Arial" w:cs="Arial"/>
          <w:szCs w:val="24"/>
        </w:rPr>
      </w:pPr>
      <w:r w:rsidRPr="00262B8D">
        <w:rPr>
          <w:rFonts w:ascii="Arial" w:hAnsi="Arial" w:cs="Arial"/>
          <w:szCs w:val="24"/>
        </w:rPr>
        <w:t>1.The peak rate of heat release for the single upholstered furniture item shall not exceed 80 kW.</w:t>
      </w:r>
    </w:p>
    <w:p w14:paraId="32A68D7C" w14:textId="3A615826" w:rsidR="00262B8D" w:rsidRPr="00262B8D" w:rsidRDefault="00262B8D" w:rsidP="003545F9">
      <w:pPr>
        <w:ind w:left="1440"/>
        <w:rPr>
          <w:rFonts w:ascii="Arial" w:hAnsi="Arial" w:cs="Arial"/>
          <w:szCs w:val="24"/>
        </w:rPr>
      </w:pPr>
      <w:r w:rsidRPr="00262B8D">
        <w:rPr>
          <w:rFonts w:ascii="Arial" w:hAnsi="Arial" w:cs="Arial"/>
          <w:b/>
          <w:bCs/>
          <w:szCs w:val="24"/>
        </w:rPr>
        <w:t>Exception:</w:t>
      </w:r>
      <w:r w:rsidRPr="00262B8D">
        <w:rPr>
          <w:rFonts w:ascii="Arial" w:hAnsi="Arial" w:cs="Arial"/>
          <w:szCs w:val="24"/>
        </w:rPr>
        <w:t> Upholstered furniture in rooms or spaces protected by an approved automatic sprinkler system installed in accordance with Section 903.3.1.1.</w:t>
      </w:r>
    </w:p>
    <w:p w14:paraId="3A8E9801" w14:textId="77777777" w:rsidR="00262B8D" w:rsidRPr="00262B8D" w:rsidRDefault="00262B8D" w:rsidP="003545F9">
      <w:pPr>
        <w:ind w:left="720"/>
        <w:rPr>
          <w:rFonts w:ascii="Arial" w:hAnsi="Arial" w:cs="Arial"/>
          <w:szCs w:val="24"/>
        </w:rPr>
      </w:pPr>
      <w:r w:rsidRPr="00262B8D">
        <w:rPr>
          <w:rFonts w:ascii="Arial" w:hAnsi="Arial" w:cs="Arial"/>
          <w:szCs w:val="24"/>
        </w:rPr>
        <w:t>2.The total heat released by the single upholstered furniture item during the first 10 minutes of the test shall not exceed 25 MJ.</w:t>
      </w:r>
    </w:p>
    <w:p w14:paraId="0448BC96" w14:textId="35D5AA49" w:rsidR="00262B8D" w:rsidRPr="00262B8D" w:rsidRDefault="00262B8D" w:rsidP="000F221D">
      <w:pPr>
        <w:ind w:left="1440"/>
        <w:rPr>
          <w:rFonts w:ascii="Arial" w:hAnsi="Arial" w:cs="Arial"/>
          <w:szCs w:val="24"/>
        </w:rPr>
      </w:pPr>
      <w:r w:rsidRPr="00262B8D">
        <w:rPr>
          <w:rFonts w:ascii="Arial" w:hAnsi="Arial" w:cs="Arial"/>
          <w:b/>
          <w:bCs/>
          <w:szCs w:val="24"/>
        </w:rPr>
        <w:t>Exception:</w:t>
      </w:r>
      <w:r w:rsidRPr="00262B8D">
        <w:rPr>
          <w:rFonts w:ascii="Arial" w:hAnsi="Arial" w:cs="Arial"/>
          <w:szCs w:val="24"/>
        </w:rPr>
        <w:t> Upholstered furniture in rooms or spaces protected by an approved automatic sprinkler system installed in accordance with Section 903.3.1.1.</w:t>
      </w:r>
    </w:p>
    <w:p w14:paraId="0189880C" w14:textId="562243F5" w:rsidR="00262B8D" w:rsidRPr="00262B8D" w:rsidRDefault="00262B8D" w:rsidP="003545F9">
      <w:pPr>
        <w:rPr>
          <w:rFonts w:ascii="Arial" w:hAnsi="Arial" w:cs="Arial"/>
          <w:b/>
          <w:bCs/>
          <w:szCs w:val="24"/>
        </w:rPr>
      </w:pPr>
      <w:r w:rsidRPr="00262B8D">
        <w:rPr>
          <w:rFonts w:ascii="Arial" w:hAnsi="Arial" w:cs="Arial"/>
          <w:b/>
          <w:bCs/>
          <w:szCs w:val="24"/>
        </w:rPr>
        <w:t>805.4.1.2 Heat release rate.</w:t>
      </w:r>
      <w:r w:rsidR="003545F9">
        <w:rPr>
          <w:rFonts w:ascii="Arial" w:hAnsi="Arial" w:cs="Arial"/>
          <w:b/>
          <w:bCs/>
          <w:szCs w:val="24"/>
        </w:rPr>
        <w:t xml:space="preserve"> </w:t>
      </w:r>
      <w:r w:rsidRPr="00262B8D">
        <w:rPr>
          <w:rFonts w:ascii="Arial" w:hAnsi="Arial" w:cs="Arial"/>
          <w:szCs w:val="24"/>
        </w:rPr>
        <w:t xml:space="preserve">Newly introduced upholstered furniture shall have limited rates of heat release when tested in accordance with ASTM E1537 or California Technical Bulletin </w:t>
      </w:r>
      <w:r w:rsidRPr="00262B8D">
        <w:rPr>
          <w:rFonts w:ascii="Arial" w:hAnsi="Arial" w:cs="Arial"/>
          <w:strike/>
          <w:szCs w:val="24"/>
        </w:rPr>
        <w:t>133</w:t>
      </w:r>
      <w:r w:rsidR="00353330">
        <w:rPr>
          <w:rFonts w:ascii="Arial" w:hAnsi="Arial" w:cs="Arial"/>
          <w:szCs w:val="24"/>
        </w:rPr>
        <w:t xml:space="preserve"> </w:t>
      </w:r>
      <w:r w:rsidR="00353330" w:rsidRPr="00353330">
        <w:rPr>
          <w:rFonts w:ascii="Arial" w:hAnsi="Arial" w:cs="Arial"/>
          <w:i/>
          <w:iCs/>
          <w:szCs w:val="24"/>
          <w:u w:val="single"/>
        </w:rPr>
        <w:t>116 and 117</w:t>
      </w:r>
      <w:r w:rsidRPr="00262B8D">
        <w:rPr>
          <w:rFonts w:ascii="Arial" w:hAnsi="Arial" w:cs="Arial"/>
          <w:szCs w:val="24"/>
        </w:rPr>
        <w:t>, as follows:</w:t>
      </w:r>
    </w:p>
    <w:p w14:paraId="1434F46D" w14:textId="77777777" w:rsidR="00262B8D" w:rsidRPr="00262B8D" w:rsidRDefault="00262B8D" w:rsidP="003545F9">
      <w:pPr>
        <w:ind w:left="720"/>
        <w:rPr>
          <w:rFonts w:ascii="Arial" w:hAnsi="Arial" w:cs="Arial"/>
          <w:szCs w:val="24"/>
        </w:rPr>
      </w:pPr>
      <w:r w:rsidRPr="00262B8D">
        <w:rPr>
          <w:rFonts w:ascii="Arial" w:hAnsi="Arial" w:cs="Arial"/>
          <w:szCs w:val="24"/>
        </w:rPr>
        <w:t xml:space="preserve">1.The peak rate of heat release for the single upholstered furniture item shall not </w:t>
      </w:r>
      <w:r w:rsidRPr="00262B8D">
        <w:rPr>
          <w:rFonts w:ascii="Arial" w:hAnsi="Arial" w:cs="Arial"/>
          <w:szCs w:val="24"/>
        </w:rPr>
        <w:lastRenderedPageBreak/>
        <w:t>exceed 80 kW.</w:t>
      </w:r>
    </w:p>
    <w:p w14:paraId="4E91B8B0" w14:textId="4B9A2FDD" w:rsidR="00262B8D" w:rsidRPr="00262B8D" w:rsidRDefault="00262B8D" w:rsidP="003545F9">
      <w:pPr>
        <w:ind w:left="1440"/>
        <w:rPr>
          <w:rFonts w:ascii="Arial" w:hAnsi="Arial" w:cs="Arial"/>
          <w:szCs w:val="24"/>
        </w:rPr>
      </w:pPr>
      <w:r w:rsidRPr="00262B8D">
        <w:rPr>
          <w:rFonts w:ascii="Arial" w:hAnsi="Arial" w:cs="Arial"/>
          <w:b/>
          <w:bCs/>
          <w:szCs w:val="24"/>
        </w:rPr>
        <w:t>Exception:</w:t>
      </w:r>
      <w:r w:rsidRPr="00262B8D">
        <w:rPr>
          <w:rFonts w:ascii="Arial" w:hAnsi="Arial" w:cs="Arial"/>
          <w:szCs w:val="24"/>
        </w:rPr>
        <w:t> Upholstered furniture in rooms or spaces protected by an approved automatic sprinkler system installed in accordance with Section 903.3.1.1.</w:t>
      </w:r>
    </w:p>
    <w:p w14:paraId="47671B08" w14:textId="77777777" w:rsidR="00262B8D" w:rsidRPr="00262B8D" w:rsidRDefault="00262B8D" w:rsidP="003545F9">
      <w:pPr>
        <w:ind w:left="720"/>
        <w:rPr>
          <w:rFonts w:ascii="Arial" w:hAnsi="Arial" w:cs="Arial"/>
          <w:szCs w:val="24"/>
        </w:rPr>
      </w:pPr>
      <w:r w:rsidRPr="00262B8D">
        <w:rPr>
          <w:rFonts w:ascii="Arial" w:hAnsi="Arial" w:cs="Arial"/>
          <w:szCs w:val="24"/>
        </w:rPr>
        <w:t>2.The total heat released by the single upholstered furniture item during the first 10 minutes of the test shall not exceed 25 MJ.</w:t>
      </w:r>
    </w:p>
    <w:p w14:paraId="5984D107" w14:textId="12BD951D" w:rsidR="00262B8D" w:rsidRPr="00262B8D" w:rsidRDefault="00262B8D" w:rsidP="003545F9">
      <w:pPr>
        <w:ind w:left="1440"/>
        <w:rPr>
          <w:rFonts w:ascii="Arial" w:hAnsi="Arial" w:cs="Arial"/>
          <w:szCs w:val="24"/>
        </w:rPr>
      </w:pPr>
      <w:r w:rsidRPr="00262B8D">
        <w:rPr>
          <w:rFonts w:ascii="Arial" w:hAnsi="Arial" w:cs="Arial"/>
          <w:b/>
          <w:bCs/>
          <w:szCs w:val="24"/>
        </w:rPr>
        <w:t>Exception:</w:t>
      </w:r>
      <w:r w:rsidRPr="00262B8D">
        <w:rPr>
          <w:rFonts w:ascii="Arial" w:hAnsi="Arial" w:cs="Arial"/>
          <w:szCs w:val="24"/>
        </w:rPr>
        <w:t> Upholstered furniture in rooms or spaces protected by an approved automatic sprinkler system installed in accordance with Section 903.3.1.1.</w:t>
      </w:r>
    </w:p>
    <w:p w14:paraId="61D831B5" w14:textId="0374427C" w:rsidR="008339E5" w:rsidRPr="008339E5" w:rsidRDefault="009577F3" w:rsidP="00B8662D">
      <w:pPr>
        <w:ind w:left="720"/>
        <w:rPr>
          <w:rFonts w:ascii="Arial" w:hAnsi="Arial" w:cs="Arial"/>
          <w:szCs w:val="24"/>
        </w:rPr>
      </w:pPr>
      <w:r>
        <w:rPr>
          <w:rFonts w:ascii="Arial" w:hAnsi="Arial" w:cs="Arial"/>
          <w:szCs w:val="24"/>
        </w:rPr>
        <w:t xml:space="preserve"> </w:t>
      </w:r>
      <w:r w:rsidR="00567275">
        <w:rPr>
          <w:rFonts w:ascii="Arial" w:hAnsi="Arial" w:cs="Arial"/>
          <w:szCs w:val="24"/>
        </w:rPr>
        <w:t xml:space="preserve"> </w:t>
      </w:r>
    </w:p>
    <w:p w14:paraId="5B367DCC" w14:textId="14855ED6" w:rsidR="00057690" w:rsidRPr="00057690" w:rsidRDefault="00057690" w:rsidP="00057690">
      <w:pPr>
        <w:ind w:left="720"/>
        <w:rPr>
          <w:rFonts w:ascii="Arial" w:hAnsi="Arial" w:cs="Arial"/>
        </w:rPr>
      </w:pPr>
      <w:r>
        <w:rPr>
          <w:rFonts w:ascii="Arial" w:hAnsi="Arial" w:cs="Arial"/>
          <w:b/>
          <w:bCs/>
          <w:szCs w:val="24"/>
        </w:rPr>
        <w:t xml:space="preserve">Reason: </w:t>
      </w:r>
      <w:r w:rsidRPr="00057690">
        <w:rPr>
          <w:rFonts w:ascii="Arial" w:hAnsi="Arial" w:cs="Arial"/>
        </w:rPr>
        <w:t>TB 133 has been repealed by California’s Bureau of Electronic and Appliance Repair, Home Furnishings and Thermal Insulation, effective January 22, 2019.</w:t>
      </w:r>
    </w:p>
    <w:p w14:paraId="3C1600DF" w14:textId="77777777" w:rsidR="00057690" w:rsidRDefault="00057690" w:rsidP="00057690">
      <w:pPr>
        <w:ind w:left="720"/>
        <w:rPr>
          <w:rFonts w:ascii="Arial" w:hAnsi="Arial" w:cs="Arial"/>
          <w:szCs w:val="24"/>
        </w:rPr>
      </w:pPr>
    </w:p>
    <w:p w14:paraId="5484DACB" w14:textId="7E025F7C" w:rsidR="00057690" w:rsidRPr="00057690" w:rsidRDefault="00057690" w:rsidP="00057690">
      <w:pPr>
        <w:ind w:left="720"/>
        <w:rPr>
          <w:rFonts w:ascii="Arial" w:hAnsi="Arial" w:cs="Arial"/>
          <w:szCs w:val="24"/>
        </w:rPr>
      </w:pPr>
      <w:r w:rsidRPr="00057690">
        <w:rPr>
          <w:rFonts w:ascii="Arial" w:hAnsi="Arial" w:cs="Arial"/>
          <w:szCs w:val="24"/>
        </w:rPr>
        <w:t>The California Bureau of Electronic and Appliance Repair, Home Furnishings and Thermal Insulation (BEARHFTI) amended California’s furniture flammability regulations with the repeal of Technical Bulletin 133 (TB 133), effective January 22, 2019.</w:t>
      </w:r>
    </w:p>
    <w:p w14:paraId="6CD3376E" w14:textId="77777777" w:rsidR="00057690" w:rsidRDefault="00057690" w:rsidP="00057690">
      <w:pPr>
        <w:ind w:left="720"/>
        <w:rPr>
          <w:rFonts w:ascii="Arial" w:hAnsi="Arial" w:cs="Arial"/>
          <w:szCs w:val="24"/>
        </w:rPr>
      </w:pPr>
    </w:p>
    <w:p w14:paraId="07CA75DE" w14:textId="1D51F93C" w:rsidR="00057690" w:rsidRPr="00057690" w:rsidRDefault="00057690" w:rsidP="00057690">
      <w:pPr>
        <w:ind w:left="720"/>
        <w:rPr>
          <w:rFonts w:ascii="Arial" w:hAnsi="Arial" w:cs="Arial"/>
          <w:szCs w:val="24"/>
        </w:rPr>
      </w:pPr>
      <w:r w:rsidRPr="00057690">
        <w:rPr>
          <w:rFonts w:ascii="Arial" w:hAnsi="Arial" w:cs="Arial"/>
          <w:szCs w:val="24"/>
        </w:rPr>
        <w:t>Enacted in1991, TB 133 established flammability requirements for upholstered seating used in public occupancies including hospitals, nursing homes jails, children’s day care centers, public auditoriums and stadiums, and assembly areas.</w:t>
      </w:r>
    </w:p>
    <w:p w14:paraId="48847A3B" w14:textId="77777777" w:rsidR="00057690" w:rsidRDefault="00057690" w:rsidP="00057690">
      <w:pPr>
        <w:ind w:left="720"/>
        <w:rPr>
          <w:rFonts w:ascii="Arial" w:hAnsi="Arial" w:cs="Arial"/>
          <w:szCs w:val="24"/>
        </w:rPr>
      </w:pPr>
    </w:p>
    <w:p w14:paraId="7D186A23" w14:textId="3DBE4C5E" w:rsidR="00057690" w:rsidRPr="00057690" w:rsidRDefault="00057690" w:rsidP="00057690">
      <w:pPr>
        <w:ind w:left="720"/>
        <w:rPr>
          <w:rFonts w:ascii="Arial" w:hAnsi="Arial" w:cs="Arial"/>
          <w:szCs w:val="24"/>
        </w:rPr>
      </w:pPr>
      <w:r w:rsidRPr="00057690">
        <w:rPr>
          <w:rFonts w:ascii="Arial" w:hAnsi="Arial" w:cs="Arial"/>
          <w:szCs w:val="24"/>
        </w:rPr>
        <w:t>In recent years TB 133 was criticized by the industry for its mandated “open flame” test procedure. Deemed too severe, many manufactures reluctantly utilized flame retardants; a practice generally discouraged due to higher costs and possible health impacts.</w:t>
      </w:r>
    </w:p>
    <w:p w14:paraId="3C5FAEB6" w14:textId="77777777" w:rsidR="00057690" w:rsidRDefault="00057690" w:rsidP="00057690">
      <w:pPr>
        <w:ind w:left="720"/>
        <w:rPr>
          <w:rFonts w:ascii="Arial" w:hAnsi="Arial" w:cs="Arial"/>
          <w:szCs w:val="24"/>
        </w:rPr>
      </w:pPr>
    </w:p>
    <w:p w14:paraId="2CACAC2A" w14:textId="7A2D7147" w:rsidR="00057690" w:rsidRPr="00057690" w:rsidRDefault="00057690" w:rsidP="00057690">
      <w:pPr>
        <w:ind w:left="720"/>
        <w:rPr>
          <w:rFonts w:ascii="Arial" w:hAnsi="Arial" w:cs="Arial"/>
          <w:szCs w:val="24"/>
        </w:rPr>
      </w:pPr>
      <w:r w:rsidRPr="00057690">
        <w:rPr>
          <w:rFonts w:ascii="Arial" w:hAnsi="Arial" w:cs="Arial"/>
          <w:szCs w:val="24"/>
        </w:rPr>
        <w:t>With the repeal of TB 133, upholstered public occupancy seating shall meet the requirements of California’s other flammability standards, Technical Bulletin 116 (TB 116) and Technical Bulletin 117 (TB 117).</w:t>
      </w:r>
    </w:p>
    <w:p w14:paraId="36C7D5DF" w14:textId="77777777" w:rsidR="00A52327" w:rsidRDefault="00A52327" w:rsidP="00A52327">
      <w:pPr>
        <w:widowControl/>
        <w:autoSpaceDE w:val="0"/>
        <w:autoSpaceDN w:val="0"/>
        <w:adjustRightInd w:val="0"/>
        <w:rPr>
          <w:rFonts w:ascii="Arial" w:hAnsi="Arial" w:cs="Arial"/>
          <w:b/>
          <w:bCs/>
          <w:snapToGrid/>
          <w:szCs w:val="24"/>
        </w:rPr>
      </w:pPr>
    </w:p>
    <w:p w14:paraId="2B64A421" w14:textId="77777777" w:rsidR="00A52327" w:rsidRPr="009038C5" w:rsidRDefault="00A52327" w:rsidP="00A52327">
      <w:pPr>
        <w:widowControl/>
        <w:autoSpaceDE w:val="0"/>
        <w:autoSpaceDN w:val="0"/>
        <w:adjustRightInd w:val="0"/>
        <w:rPr>
          <w:rFonts w:ascii="Arial" w:hAnsi="Arial" w:cs="Arial"/>
          <w:snapToGrid/>
          <w:szCs w:val="24"/>
        </w:rPr>
      </w:pPr>
      <w:r w:rsidRPr="009038C5">
        <w:rPr>
          <w:rFonts w:ascii="Arial" w:hAnsi="Arial" w:cs="Arial"/>
          <w:b/>
          <w:bCs/>
          <w:snapToGrid/>
          <w:szCs w:val="24"/>
        </w:rPr>
        <w:t>[F] 903.2.8.3 Group R-4</w:t>
      </w:r>
      <w:r w:rsidRPr="009038C5">
        <w:rPr>
          <w:rFonts w:ascii="Arial" w:hAnsi="Arial" w:cs="Arial"/>
          <w:b/>
          <w:bCs/>
          <w:strike/>
          <w:snapToGrid/>
          <w:szCs w:val="24"/>
        </w:rPr>
        <w:t>, Condition 2</w:t>
      </w:r>
      <w:r w:rsidRPr="009038C5">
        <w:rPr>
          <w:rFonts w:ascii="Arial" w:hAnsi="Arial" w:cs="Arial"/>
          <w:b/>
          <w:bCs/>
          <w:snapToGrid/>
          <w:szCs w:val="24"/>
        </w:rPr>
        <w:t xml:space="preserve">. </w:t>
      </w:r>
      <w:r w:rsidRPr="009038C5">
        <w:rPr>
          <w:rFonts w:ascii="Arial" w:hAnsi="Arial" w:cs="Arial"/>
          <w:snapToGrid/>
          <w:szCs w:val="24"/>
        </w:rPr>
        <w:t>An automatic sprinkler system installed in accordance with Section 903.3.1.2 shall be permitted in Group R-4</w:t>
      </w:r>
      <w:r w:rsidRPr="009038C5">
        <w:rPr>
          <w:rFonts w:ascii="Arial" w:hAnsi="Arial" w:cs="Arial"/>
          <w:strike/>
          <w:snapToGrid/>
          <w:szCs w:val="24"/>
        </w:rPr>
        <w:t>, Condition 2</w:t>
      </w:r>
    </w:p>
    <w:p w14:paraId="4EF950D7" w14:textId="1155F976" w:rsidR="00A52327" w:rsidRPr="009038C5" w:rsidRDefault="00A52327" w:rsidP="00A52327">
      <w:pPr>
        <w:widowControl/>
        <w:rPr>
          <w:rFonts w:ascii="Arial" w:hAnsi="Arial" w:cs="Arial"/>
          <w:i/>
          <w:iCs/>
          <w:snapToGrid/>
          <w:szCs w:val="24"/>
        </w:rPr>
      </w:pPr>
      <w:r w:rsidRPr="009038C5">
        <w:rPr>
          <w:rFonts w:ascii="Arial" w:hAnsi="Arial" w:cs="Arial"/>
          <w:snapToGrid/>
          <w:szCs w:val="24"/>
        </w:rPr>
        <w:t>occupancies.</w:t>
      </w:r>
    </w:p>
    <w:p w14:paraId="4D9F338D" w14:textId="77777777" w:rsidR="00A52327" w:rsidRDefault="00A52327" w:rsidP="00A52327">
      <w:pPr>
        <w:widowControl/>
        <w:rPr>
          <w:rFonts w:ascii="Arial" w:hAnsi="Arial" w:cs="Arial"/>
          <w:i/>
          <w:iCs/>
          <w:snapToGrid/>
          <w:szCs w:val="24"/>
          <w:u w:val="single"/>
        </w:rPr>
      </w:pPr>
    </w:p>
    <w:p w14:paraId="6F899431" w14:textId="77777777" w:rsidR="00A52327" w:rsidRDefault="00A52327" w:rsidP="00E52B8E">
      <w:pPr>
        <w:widowControl/>
        <w:spacing w:after="240"/>
        <w:ind w:left="720"/>
        <w:rPr>
          <w:rFonts w:ascii="Arial" w:hAnsi="Arial" w:cs="Arial"/>
          <w:szCs w:val="24"/>
        </w:rPr>
      </w:pPr>
      <w:r w:rsidRPr="008339E5">
        <w:rPr>
          <w:rFonts w:ascii="Arial" w:hAnsi="Arial" w:cs="Arial"/>
          <w:b/>
          <w:bCs/>
          <w:szCs w:val="24"/>
        </w:rPr>
        <w:t>Reason:</w:t>
      </w:r>
      <w:r>
        <w:rPr>
          <w:rFonts w:ascii="Arial" w:hAnsi="Arial" w:cs="Arial"/>
          <w:szCs w:val="24"/>
        </w:rPr>
        <w:t xml:space="preserve"> Group R-4 in California is not divided into condition 1 and 2. This is an existing amendment to delete the reference to the conditions from the model code.</w:t>
      </w:r>
    </w:p>
    <w:p w14:paraId="65080F79" w14:textId="77777777" w:rsidR="00BD1FA9" w:rsidRDefault="00BD1FA9" w:rsidP="004F291C">
      <w:pPr>
        <w:widowControl/>
        <w:rPr>
          <w:rFonts w:cs="Arial"/>
          <w:bCs/>
          <w:i/>
          <w:iCs/>
          <w:szCs w:val="24"/>
          <w:u w:val="single"/>
        </w:rPr>
      </w:pPr>
    </w:p>
    <w:p w14:paraId="5492107F" w14:textId="32AE88B6" w:rsidR="000F221D" w:rsidRDefault="000F221D" w:rsidP="000F221D">
      <w:pPr>
        <w:widowControl/>
        <w:rPr>
          <w:rFonts w:ascii="Arial" w:hAnsi="Arial" w:cs="Arial"/>
          <w:b/>
          <w:bCs/>
          <w:i/>
          <w:iCs/>
          <w:szCs w:val="24"/>
          <w:u w:val="single"/>
        </w:rPr>
      </w:pPr>
      <w:r w:rsidRPr="000F221D">
        <w:rPr>
          <w:rFonts w:ascii="Arial" w:hAnsi="Arial" w:cs="Arial"/>
          <w:b/>
          <w:bCs/>
          <w:szCs w:val="24"/>
        </w:rPr>
        <w:t xml:space="preserve">California Technical Bulletin </w:t>
      </w:r>
      <w:r w:rsidRPr="000F221D">
        <w:rPr>
          <w:rFonts w:ascii="Arial" w:hAnsi="Arial" w:cs="Arial"/>
          <w:b/>
          <w:bCs/>
          <w:strike/>
          <w:szCs w:val="24"/>
        </w:rPr>
        <w:t>133—1991: Flammability Test Procedure for Seating Furniture for Use in Public Occupancies</w:t>
      </w:r>
      <w:r w:rsidRPr="000F221D">
        <w:rPr>
          <w:rFonts w:ascii="Arial" w:hAnsi="Arial" w:cs="Arial"/>
          <w:b/>
          <w:bCs/>
          <w:i/>
          <w:iCs/>
          <w:szCs w:val="24"/>
          <w:u w:val="single"/>
        </w:rPr>
        <w:t xml:space="preserve"> 116: </w:t>
      </w:r>
      <w:r>
        <w:rPr>
          <w:rFonts w:ascii="Arial" w:hAnsi="Arial" w:cs="Arial"/>
          <w:b/>
          <w:bCs/>
          <w:i/>
          <w:iCs/>
          <w:szCs w:val="24"/>
          <w:u w:val="single"/>
        </w:rPr>
        <w:t>Requirements, test procedure and apparatus for testing of the flame retardance of upholstered furniture</w:t>
      </w:r>
      <w:r w:rsidRPr="000F221D">
        <w:rPr>
          <w:rFonts w:ascii="Arial" w:hAnsi="Arial" w:cs="Arial"/>
          <w:b/>
          <w:bCs/>
          <w:i/>
          <w:iCs/>
          <w:szCs w:val="24"/>
          <w:u w:val="single"/>
        </w:rPr>
        <w:t xml:space="preserve"> </w:t>
      </w:r>
      <w:r>
        <w:rPr>
          <w:rFonts w:ascii="Arial" w:hAnsi="Arial" w:cs="Arial"/>
          <w:b/>
          <w:bCs/>
          <w:i/>
          <w:iCs/>
          <w:szCs w:val="24"/>
          <w:u w:val="single"/>
        </w:rPr>
        <w:t xml:space="preserve">and 117: </w:t>
      </w:r>
      <w:r w:rsidR="00154E24" w:rsidRPr="00154E24">
        <w:rPr>
          <w:rFonts w:ascii="Arial" w:hAnsi="Arial" w:cs="Arial"/>
          <w:b/>
          <w:bCs/>
          <w:i/>
          <w:iCs/>
          <w:szCs w:val="24"/>
          <w:u w:val="single"/>
        </w:rPr>
        <w:t>Requirements, Test Procedure and Apparatus for Testing the Smolder Resistance of Materials Used in Upholstered Furniture.</w:t>
      </w:r>
    </w:p>
    <w:p w14:paraId="5E687410" w14:textId="6EC263D5" w:rsidR="000F221D" w:rsidRDefault="000F221D" w:rsidP="000F221D">
      <w:pPr>
        <w:widowControl/>
        <w:spacing w:after="240"/>
        <w:rPr>
          <w:rFonts w:ascii="Arial" w:hAnsi="Arial" w:cs="Arial"/>
          <w:szCs w:val="24"/>
        </w:rPr>
      </w:pPr>
      <w:r w:rsidRPr="000F221D">
        <w:rPr>
          <w:rFonts w:ascii="Arial" w:hAnsi="Arial" w:cs="Arial"/>
          <w:szCs w:val="24"/>
        </w:rPr>
        <w:t>805.2.1.2, 805.4.1.2</w:t>
      </w:r>
    </w:p>
    <w:p w14:paraId="327CC1EA" w14:textId="09405BD9" w:rsidR="00E52B8E" w:rsidRPr="00E52B8E" w:rsidRDefault="00E52B8E" w:rsidP="00E52B8E">
      <w:pPr>
        <w:ind w:left="720"/>
        <w:rPr>
          <w:rFonts w:ascii="Arial" w:hAnsi="Arial" w:cs="Arial"/>
        </w:rPr>
      </w:pPr>
      <w:r>
        <w:rPr>
          <w:rFonts w:ascii="Arial" w:hAnsi="Arial" w:cs="Arial"/>
          <w:b/>
          <w:bCs/>
          <w:szCs w:val="24"/>
        </w:rPr>
        <w:lastRenderedPageBreak/>
        <w:t xml:space="preserve">Reason: </w:t>
      </w:r>
      <w:r w:rsidRPr="00057690">
        <w:rPr>
          <w:rFonts w:ascii="Arial" w:hAnsi="Arial" w:cs="Arial"/>
        </w:rPr>
        <w:t>TB 133 has been repealed by California’s Bureau of Electronic and Appliance Repair, Home Furnishings and Thermal Insulation, effective January 22, 2019.</w:t>
      </w:r>
      <w:r>
        <w:rPr>
          <w:rFonts w:ascii="Arial" w:hAnsi="Arial" w:cs="Arial"/>
        </w:rPr>
        <w:t xml:space="preserve"> </w:t>
      </w:r>
      <w:r w:rsidRPr="00E52B8E">
        <w:rPr>
          <w:rFonts w:ascii="Arial" w:hAnsi="Arial" w:cs="Arial"/>
        </w:rPr>
        <w:t>With the repeal of TB 133, upholstered public occupancy seating shall meet the requirements of California’s other flammability standards, Technical Bulletin 116 (TB 116) and Technical Bulletin 117 (TB 117).</w:t>
      </w:r>
    </w:p>
    <w:p w14:paraId="40E5BBD9" w14:textId="77777777" w:rsidR="000F221D" w:rsidRDefault="000F221D" w:rsidP="000D6750">
      <w:pPr>
        <w:widowControl/>
        <w:rPr>
          <w:rFonts w:ascii="Arial" w:hAnsi="Arial" w:cs="Arial"/>
          <w:b/>
          <w:bCs/>
          <w:szCs w:val="24"/>
          <w:u w:val="single"/>
        </w:rPr>
      </w:pPr>
    </w:p>
    <w:p w14:paraId="206693F2" w14:textId="60F2902E" w:rsidR="000D6750" w:rsidRPr="000D6750" w:rsidRDefault="000D6750" w:rsidP="000D6750">
      <w:pPr>
        <w:widowControl/>
        <w:rPr>
          <w:rFonts w:ascii="Arial" w:hAnsi="Arial" w:cs="Arial"/>
          <w:b/>
          <w:bCs/>
          <w:szCs w:val="24"/>
          <w:u w:val="single"/>
        </w:rPr>
      </w:pPr>
      <w:r w:rsidRPr="000D6750">
        <w:rPr>
          <w:rFonts w:ascii="Arial" w:hAnsi="Arial" w:cs="Arial"/>
          <w:b/>
          <w:bCs/>
          <w:szCs w:val="24"/>
          <w:u w:val="single"/>
        </w:rPr>
        <w:t>22—18: Standard for Water Tanks for Private Fire Protection</w:t>
      </w:r>
    </w:p>
    <w:p w14:paraId="49D259E7" w14:textId="1A4680DC" w:rsidR="007A4239" w:rsidRPr="000D6750" w:rsidRDefault="000D6750" w:rsidP="000D6750">
      <w:pPr>
        <w:widowControl/>
        <w:rPr>
          <w:rFonts w:ascii="Arial" w:hAnsi="Arial" w:cs="Arial"/>
          <w:bCs/>
          <w:szCs w:val="24"/>
          <w:u w:val="single"/>
        </w:rPr>
      </w:pPr>
      <w:r w:rsidRPr="000D6750">
        <w:rPr>
          <w:rFonts w:ascii="Arial" w:hAnsi="Arial" w:cs="Arial"/>
          <w:bCs/>
          <w:szCs w:val="24"/>
          <w:u w:val="single"/>
        </w:rPr>
        <w:t>507.2.2</w:t>
      </w:r>
    </w:p>
    <w:p w14:paraId="27F47A64" w14:textId="77777777" w:rsidR="000D6750" w:rsidRDefault="000D6750" w:rsidP="007A4239">
      <w:pPr>
        <w:widowControl/>
        <w:rPr>
          <w:rFonts w:cs="Arial"/>
          <w:bCs/>
          <w:i/>
          <w:iCs/>
          <w:szCs w:val="24"/>
          <w:u w:val="single"/>
        </w:rPr>
      </w:pPr>
    </w:p>
    <w:p w14:paraId="69080F37" w14:textId="35E1EF56" w:rsidR="000D6750" w:rsidRDefault="000D6750" w:rsidP="00E52B8E">
      <w:pPr>
        <w:widowControl/>
        <w:ind w:left="720"/>
        <w:rPr>
          <w:rFonts w:ascii="Arial" w:hAnsi="Arial" w:cs="Arial"/>
          <w:szCs w:val="24"/>
        </w:rPr>
      </w:pPr>
      <w:r w:rsidRPr="008339E5">
        <w:rPr>
          <w:rFonts w:ascii="Arial" w:hAnsi="Arial" w:cs="Arial"/>
          <w:b/>
          <w:bCs/>
          <w:szCs w:val="24"/>
        </w:rPr>
        <w:t>Reason:</w:t>
      </w:r>
      <w:r>
        <w:rPr>
          <w:rFonts w:ascii="Arial" w:hAnsi="Arial" w:cs="Arial"/>
          <w:szCs w:val="24"/>
        </w:rPr>
        <w:t xml:space="preserve"> The NFPA 22 standard was missed in the printing of the </w:t>
      </w:r>
      <w:r w:rsidR="00FA5EBF">
        <w:rPr>
          <w:rFonts w:ascii="Arial" w:hAnsi="Arial" w:cs="Arial"/>
          <w:szCs w:val="24"/>
        </w:rPr>
        <w:t xml:space="preserve">2022 </w:t>
      </w:r>
      <w:r>
        <w:rPr>
          <w:rFonts w:ascii="Arial" w:hAnsi="Arial" w:cs="Arial"/>
          <w:szCs w:val="24"/>
        </w:rPr>
        <w:t>California</w:t>
      </w:r>
      <w:r w:rsidR="00FA5EBF">
        <w:rPr>
          <w:rFonts w:ascii="Arial" w:hAnsi="Arial" w:cs="Arial"/>
          <w:szCs w:val="24"/>
        </w:rPr>
        <w:t xml:space="preserve"> Building Standards Code, Part 9. </w:t>
      </w:r>
      <w:r w:rsidR="007E1A43">
        <w:rPr>
          <w:rFonts w:ascii="Arial" w:hAnsi="Arial" w:cs="Arial"/>
          <w:szCs w:val="24"/>
        </w:rPr>
        <w:t>This proposed erratum</w:t>
      </w:r>
      <w:r w:rsidR="00FA5EBF">
        <w:rPr>
          <w:rFonts w:ascii="Arial" w:hAnsi="Arial" w:cs="Arial"/>
          <w:szCs w:val="24"/>
        </w:rPr>
        <w:t xml:space="preserve"> is to correct that error. </w:t>
      </w:r>
    </w:p>
    <w:p w14:paraId="7EC3CC94" w14:textId="77777777" w:rsidR="00CC024A" w:rsidRPr="00CC024A" w:rsidRDefault="00CC024A" w:rsidP="00CC024A">
      <w:pPr>
        <w:keepNext/>
        <w:keepLines/>
        <w:spacing w:before="120" w:after="120"/>
        <w:ind w:left="360"/>
        <w:outlineLvl w:val="3"/>
        <w:rPr>
          <w:rFonts w:ascii="Arial" w:eastAsiaTheme="majorEastAsia" w:hAnsi="Arial" w:cstheme="majorBidi"/>
          <w:b/>
          <w:iCs/>
        </w:rPr>
      </w:pPr>
      <w:r w:rsidRPr="00CC024A">
        <w:rPr>
          <w:rFonts w:ascii="Arial" w:eastAsiaTheme="majorEastAsia" w:hAnsi="Arial" w:cstheme="majorBidi"/>
          <w:b/>
          <w:iCs/>
        </w:rPr>
        <w:t>CAC Recommendation:</w:t>
      </w:r>
    </w:p>
    <w:p w14:paraId="388C4B51" w14:textId="77777777" w:rsidR="00CC024A" w:rsidRPr="00CC024A" w:rsidRDefault="00CC024A" w:rsidP="00CC024A">
      <w:pPr>
        <w:widowControl/>
        <w:spacing w:before="120" w:after="120"/>
        <w:ind w:left="360"/>
        <w:rPr>
          <w:rFonts w:ascii="Arial" w:hAnsi="Arial" w:cs="Arial"/>
          <w:szCs w:val="24"/>
        </w:rPr>
      </w:pPr>
      <w:r w:rsidRPr="00CC024A">
        <w:rPr>
          <w:rFonts w:ascii="Arial" w:hAnsi="Arial" w:cs="Arial"/>
          <w:szCs w:val="24"/>
          <w:highlight w:val="lightGray"/>
        </w:rPr>
        <w:fldChar w:fldCharType="begin">
          <w:ffData>
            <w:name w:val=""/>
            <w:enabled/>
            <w:calcOnExit w:val="0"/>
            <w:textInput>
              <w:default w:val="[Enter CAC recommendation(s), if any]"/>
            </w:textInput>
          </w:ffData>
        </w:fldChar>
      </w:r>
      <w:r w:rsidRPr="00CC024A">
        <w:rPr>
          <w:rFonts w:ascii="Arial" w:hAnsi="Arial" w:cs="Arial"/>
          <w:szCs w:val="24"/>
          <w:highlight w:val="lightGray"/>
        </w:rPr>
        <w:instrText xml:space="preserve"> FORMTEXT </w:instrText>
      </w:r>
      <w:r w:rsidRPr="00CC024A">
        <w:rPr>
          <w:rFonts w:ascii="Arial" w:hAnsi="Arial" w:cs="Arial"/>
          <w:szCs w:val="24"/>
          <w:highlight w:val="lightGray"/>
        </w:rPr>
      </w:r>
      <w:r w:rsidRPr="00CC024A">
        <w:rPr>
          <w:rFonts w:ascii="Arial" w:hAnsi="Arial" w:cs="Arial"/>
          <w:szCs w:val="24"/>
          <w:highlight w:val="lightGray"/>
        </w:rPr>
        <w:fldChar w:fldCharType="separate"/>
      </w:r>
      <w:r w:rsidRPr="00CC024A">
        <w:rPr>
          <w:rFonts w:ascii="Arial" w:hAnsi="Arial" w:cs="Arial"/>
          <w:noProof/>
          <w:szCs w:val="24"/>
          <w:highlight w:val="lightGray"/>
        </w:rPr>
        <w:t>[Enter CAC recommendation(s), if any]</w:t>
      </w:r>
      <w:r w:rsidRPr="00CC024A">
        <w:rPr>
          <w:rFonts w:ascii="Arial" w:hAnsi="Arial" w:cs="Arial"/>
          <w:szCs w:val="24"/>
          <w:highlight w:val="lightGray"/>
        </w:rPr>
        <w:fldChar w:fldCharType="end"/>
      </w:r>
    </w:p>
    <w:p w14:paraId="79323E82" w14:textId="77777777" w:rsidR="00CC024A" w:rsidRPr="00CC024A" w:rsidRDefault="00CC024A" w:rsidP="00CC024A">
      <w:pPr>
        <w:keepNext/>
        <w:keepLines/>
        <w:spacing w:before="120" w:after="120"/>
        <w:ind w:left="360"/>
        <w:outlineLvl w:val="3"/>
        <w:rPr>
          <w:rFonts w:ascii="Arial" w:eastAsiaTheme="majorEastAsia" w:hAnsi="Arial" w:cstheme="majorBidi"/>
          <w:b/>
          <w:iCs/>
        </w:rPr>
      </w:pPr>
      <w:r w:rsidRPr="00CC024A">
        <w:rPr>
          <w:rFonts w:ascii="Arial" w:eastAsiaTheme="majorEastAsia" w:hAnsi="Arial" w:cstheme="majorBidi"/>
          <w:b/>
          <w:iCs/>
        </w:rPr>
        <w:t>Agency Response:</w:t>
      </w:r>
    </w:p>
    <w:p w14:paraId="71E4E0D8" w14:textId="5D1AB324" w:rsidR="00686311" w:rsidRPr="007E0C6E" w:rsidRDefault="00CC024A" w:rsidP="007E0C6E">
      <w:pPr>
        <w:widowControl/>
        <w:spacing w:before="120" w:after="120"/>
        <w:ind w:left="360"/>
        <w:rPr>
          <w:rFonts w:ascii="Arial" w:hAnsi="Arial" w:cs="Arial"/>
          <w:szCs w:val="24"/>
        </w:rPr>
      </w:pPr>
      <w:r w:rsidRPr="00CC024A">
        <w:rPr>
          <w:rFonts w:ascii="Arial" w:hAnsi="Arial" w:cs="Arial"/>
          <w:szCs w:val="24"/>
          <w:highlight w:val="lightGray"/>
        </w:rPr>
        <w:fldChar w:fldCharType="begin">
          <w:ffData>
            <w:name w:val=""/>
            <w:enabled/>
            <w:calcOnExit w:val="0"/>
            <w:textInput>
              <w:default w:val="[Enter the agency's response to CAC recommendation(s)]"/>
            </w:textInput>
          </w:ffData>
        </w:fldChar>
      </w:r>
      <w:r w:rsidRPr="00CC024A">
        <w:rPr>
          <w:rFonts w:ascii="Arial" w:hAnsi="Arial" w:cs="Arial"/>
          <w:szCs w:val="24"/>
          <w:highlight w:val="lightGray"/>
        </w:rPr>
        <w:instrText xml:space="preserve"> FORMTEXT </w:instrText>
      </w:r>
      <w:r w:rsidRPr="00CC024A">
        <w:rPr>
          <w:rFonts w:ascii="Arial" w:hAnsi="Arial" w:cs="Arial"/>
          <w:szCs w:val="24"/>
          <w:highlight w:val="lightGray"/>
        </w:rPr>
      </w:r>
      <w:r w:rsidRPr="00CC024A">
        <w:rPr>
          <w:rFonts w:ascii="Arial" w:hAnsi="Arial" w:cs="Arial"/>
          <w:szCs w:val="24"/>
          <w:highlight w:val="lightGray"/>
        </w:rPr>
        <w:fldChar w:fldCharType="separate"/>
      </w:r>
      <w:r w:rsidRPr="00CC024A">
        <w:rPr>
          <w:rFonts w:ascii="Arial" w:hAnsi="Arial" w:cs="Arial"/>
          <w:noProof/>
          <w:szCs w:val="24"/>
          <w:highlight w:val="lightGray"/>
        </w:rPr>
        <w:t>[Enter the agency's response to CAC recommendation(s)]</w:t>
      </w:r>
      <w:r w:rsidRPr="00CC024A">
        <w:rPr>
          <w:rFonts w:ascii="Arial" w:hAnsi="Arial" w:cs="Arial"/>
          <w:szCs w:val="24"/>
          <w:highlight w:val="lightGray"/>
        </w:rPr>
        <w:fldChar w:fldCharType="end"/>
      </w:r>
    </w:p>
    <w:sectPr w:rsidR="00686311" w:rsidRPr="007E0C6E"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830B" w14:textId="77777777" w:rsidR="005D3F22" w:rsidRDefault="005D3F22">
      <w:r>
        <w:separator/>
      </w:r>
    </w:p>
  </w:endnote>
  <w:endnote w:type="continuationSeparator" w:id="0">
    <w:p w14:paraId="1F772D00" w14:textId="77777777" w:rsidR="005D3F22" w:rsidRDefault="005D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281E50D8"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FF1B26">
      <w:rPr>
        <w:rFonts w:ascii="Arial" w:hAnsi="Arial" w:cs="Arial"/>
        <w:sz w:val="16"/>
      </w:rPr>
      <w:t>Initial</w:t>
    </w:r>
    <w:r w:rsidR="0067477E" w:rsidRPr="00795E8F">
      <w:rPr>
        <w:rFonts w:ascii="Arial" w:hAnsi="Arial" w:cs="Arial"/>
        <w:sz w:val="16"/>
      </w:rPr>
      <w:t xml:space="preserve"> Express Terms</w:t>
    </w:r>
    <w:r w:rsidR="0067477E" w:rsidRPr="00795E8F">
      <w:rPr>
        <w:sz w:val="16"/>
      </w:rPr>
      <w:tab/>
    </w:r>
    <w:r w:rsidR="0011746B">
      <w:rPr>
        <w:sz w:val="16"/>
      </w:rPr>
      <w:t xml:space="preserve">February </w:t>
    </w:r>
    <w:r w:rsidR="009B5894">
      <w:rPr>
        <w:sz w:val="16"/>
      </w:rPr>
      <w:t>28</w:t>
    </w:r>
    <w:r w:rsidR="0011746B">
      <w:rPr>
        <w:sz w:val="16"/>
      </w:rPr>
      <w:t>, 2023</w:t>
    </w:r>
  </w:p>
  <w:p w14:paraId="7AC8E631" w14:textId="2205EBBF"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FF1B26">
      <w:rPr>
        <w:rFonts w:ascii="Arial" w:hAnsi="Arial" w:cs="Arial"/>
        <w:sz w:val="16"/>
      </w:rPr>
      <w:t>0</w:t>
    </w:r>
    <w:r w:rsidR="009B5894">
      <w:rPr>
        <w:rFonts w:ascii="Arial" w:hAnsi="Arial" w:cs="Arial"/>
        <w:sz w:val="16"/>
      </w:rPr>
      <w:t>7</w:t>
    </w:r>
    <w:r w:rsidR="00FF1B26">
      <w:rPr>
        <w:rFonts w:ascii="Arial" w:hAnsi="Arial" w:cs="Arial"/>
        <w:sz w:val="16"/>
      </w:rPr>
      <w:t>22</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w:t>
    </w:r>
    <w:r w:rsidR="00FF1B26">
      <w:rPr>
        <w:rFonts w:ascii="Arial" w:hAnsi="Arial" w:cs="Arial"/>
        <w:sz w:val="16"/>
      </w:rPr>
      <w:t xml:space="preserve"> </w:t>
    </w:r>
    <w:r w:rsidR="009B5894">
      <w:rPr>
        <w:rFonts w:ascii="Arial" w:hAnsi="Arial" w:cs="Arial"/>
        <w:sz w:val="16"/>
      </w:rPr>
      <w:t xml:space="preserve">9 </w:t>
    </w:r>
    <w:r w:rsidR="00FF1B26">
      <w:rPr>
        <w:rFonts w:ascii="Arial" w:hAnsi="Arial" w:cs="Arial"/>
        <w:sz w:val="16"/>
      </w:rPr>
      <w:t>2022</w:t>
    </w:r>
    <w:r w:rsidR="007766B4">
      <w:rPr>
        <w:rFonts w:ascii="Arial" w:hAnsi="Arial" w:cs="Arial"/>
        <w:sz w:val="16"/>
      </w:rPr>
      <w:t xml:space="preserve"> Intervening</w:t>
    </w:r>
    <w:r>
      <w:rPr>
        <w:rFonts w:ascii="Arial" w:hAnsi="Arial" w:cs="Arial"/>
        <w:sz w:val="16"/>
      </w:rPr>
      <w:t xml:space="preserve">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11746B">
      <w:rPr>
        <w:rFonts w:ascii="Arial" w:hAnsi="Arial" w:cs="Arial"/>
        <w:sz w:val="16"/>
      </w:rPr>
      <w:t>I</w:t>
    </w:r>
    <w:r w:rsidR="004B2072">
      <w:rPr>
        <w:rFonts w:ascii="Arial" w:hAnsi="Arial" w:cs="Arial"/>
        <w:sz w:val="16"/>
      </w:rPr>
      <w:t xml:space="preserve">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E0BE" w14:textId="77777777" w:rsidR="005D3F22" w:rsidRDefault="005D3F22">
      <w:r>
        <w:separator/>
      </w:r>
    </w:p>
  </w:footnote>
  <w:footnote w:type="continuationSeparator" w:id="0">
    <w:p w14:paraId="4A756C44" w14:textId="77777777" w:rsidR="005D3F22" w:rsidRDefault="005D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5259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3C59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D095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3E51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84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D225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8088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1453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0C4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8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F36E4D"/>
    <w:multiLevelType w:val="multilevel"/>
    <w:tmpl w:val="ACA6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56B"/>
    <w:multiLevelType w:val="hybridMultilevel"/>
    <w:tmpl w:val="8006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6A2868"/>
    <w:multiLevelType w:val="multilevel"/>
    <w:tmpl w:val="A9105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E4446"/>
    <w:multiLevelType w:val="multilevel"/>
    <w:tmpl w:val="E6328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25B84"/>
    <w:multiLevelType w:val="hybridMultilevel"/>
    <w:tmpl w:val="26A0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325571">
    <w:abstractNumId w:val="12"/>
  </w:num>
  <w:num w:numId="2" w16cid:durableId="182673446">
    <w:abstractNumId w:val="18"/>
  </w:num>
  <w:num w:numId="3" w16cid:durableId="525869858">
    <w:abstractNumId w:val="19"/>
  </w:num>
  <w:num w:numId="4" w16cid:durableId="326785393">
    <w:abstractNumId w:val="21"/>
  </w:num>
  <w:num w:numId="5" w16cid:durableId="1661499833">
    <w:abstractNumId w:val="14"/>
  </w:num>
  <w:num w:numId="6" w16cid:durableId="646514535">
    <w:abstractNumId w:val="20"/>
  </w:num>
  <w:num w:numId="7" w16cid:durableId="509610966">
    <w:abstractNumId w:val="16"/>
  </w:num>
  <w:num w:numId="8" w16cid:durableId="544801912">
    <w:abstractNumId w:val="15"/>
  </w:num>
  <w:num w:numId="9" w16cid:durableId="329136439">
    <w:abstractNumId w:val="9"/>
  </w:num>
  <w:num w:numId="10" w16cid:durableId="1276209766">
    <w:abstractNumId w:val="7"/>
  </w:num>
  <w:num w:numId="11" w16cid:durableId="851719064">
    <w:abstractNumId w:val="6"/>
  </w:num>
  <w:num w:numId="12" w16cid:durableId="1393432537">
    <w:abstractNumId w:val="5"/>
  </w:num>
  <w:num w:numId="13" w16cid:durableId="1444838879">
    <w:abstractNumId w:val="4"/>
  </w:num>
  <w:num w:numId="14" w16cid:durableId="150145859">
    <w:abstractNumId w:val="8"/>
  </w:num>
  <w:num w:numId="15" w16cid:durableId="702905832">
    <w:abstractNumId w:val="3"/>
  </w:num>
  <w:num w:numId="16" w16cid:durableId="444232216">
    <w:abstractNumId w:val="2"/>
  </w:num>
  <w:num w:numId="17" w16cid:durableId="278338342">
    <w:abstractNumId w:val="1"/>
  </w:num>
  <w:num w:numId="18" w16cid:durableId="369767345">
    <w:abstractNumId w:val="0"/>
  </w:num>
  <w:num w:numId="19" w16cid:durableId="1043480045">
    <w:abstractNumId w:val="22"/>
  </w:num>
  <w:num w:numId="20" w16cid:durableId="430667908">
    <w:abstractNumId w:val="11"/>
  </w:num>
  <w:num w:numId="21" w16cid:durableId="1840149751">
    <w:abstractNumId w:val="10"/>
  </w:num>
  <w:num w:numId="22" w16cid:durableId="2059279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407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7A2"/>
    <w:rsid w:val="00016692"/>
    <w:rsid w:val="000257AD"/>
    <w:rsid w:val="00030FC2"/>
    <w:rsid w:val="00050DCC"/>
    <w:rsid w:val="00057690"/>
    <w:rsid w:val="000647C7"/>
    <w:rsid w:val="000661C8"/>
    <w:rsid w:val="00082454"/>
    <w:rsid w:val="000846ED"/>
    <w:rsid w:val="000A2D7E"/>
    <w:rsid w:val="000C172A"/>
    <w:rsid w:val="000D6750"/>
    <w:rsid w:val="000E24B4"/>
    <w:rsid w:val="000E5AF6"/>
    <w:rsid w:val="000F221D"/>
    <w:rsid w:val="000F245D"/>
    <w:rsid w:val="000F25B5"/>
    <w:rsid w:val="00107079"/>
    <w:rsid w:val="0011746B"/>
    <w:rsid w:val="00123F82"/>
    <w:rsid w:val="00135957"/>
    <w:rsid w:val="00136F0F"/>
    <w:rsid w:val="00137624"/>
    <w:rsid w:val="00140550"/>
    <w:rsid w:val="001523AC"/>
    <w:rsid w:val="00154E24"/>
    <w:rsid w:val="00161141"/>
    <w:rsid w:val="001617BA"/>
    <w:rsid w:val="0016695D"/>
    <w:rsid w:val="001701D4"/>
    <w:rsid w:val="00175449"/>
    <w:rsid w:val="00177D2A"/>
    <w:rsid w:val="00184E06"/>
    <w:rsid w:val="001874A9"/>
    <w:rsid w:val="00194BBC"/>
    <w:rsid w:val="001A01F8"/>
    <w:rsid w:val="001A2431"/>
    <w:rsid w:val="001A2A06"/>
    <w:rsid w:val="001B1143"/>
    <w:rsid w:val="001B4980"/>
    <w:rsid w:val="001C65FE"/>
    <w:rsid w:val="001D65BC"/>
    <w:rsid w:val="001E635B"/>
    <w:rsid w:val="001E690C"/>
    <w:rsid w:val="001F3417"/>
    <w:rsid w:val="00203931"/>
    <w:rsid w:val="00210BB3"/>
    <w:rsid w:val="00223464"/>
    <w:rsid w:val="002317C5"/>
    <w:rsid w:val="00233758"/>
    <w:rsid w:val="00234A84"/>
    <w:rsid w:val="00241A4C"/>
    <w:rsid w:val="0024338A"/>
    <w:rsid w:val="00250921"/>
    <w:rsid w:val="002604E2"/>
    <w:rsid w:val="00262B8D"/>
    <w:rsid w:val="00264CAB"/>
    <w:rsid w:val="0027362E"/>
    <w:rsid w:val="0027688C"/>
    <w:rsid w:val="002878A0"/>
    <w:rsid w:val="00290558"/>
    <w:rsid w:val="00290FC9"/>
    <w:rsid w:val="002A2507"/>
    <w:rsid w:val="002A4D52"/>
    <w:rsid w:val="002A55E0"/>
    <w:rsid w:val="002C03CE"/>
    <w:rsid w:val="002C09DC"/>
    <w:rsid w:val="002C62F7"/>
    <w:rsid w:val="002E03D9"/>
    <w:rsid w:val="002F066A"/>
    <w:rsid w:val="002F2F70"/>
    <w:rsid w:val="002F34EB"/>
    <w:rsid w:val="002F69F8"/>
    <w:rsid w:val="00303F97"/>
    <w:rsid w:val="0030639B"/>
    <w:rsid w:val="00306A4D"/>
    <w:rsid w:val="00311BF6"/>
    <w:rsid w:val="00337969"/>
    <w:rsid w:val="00345B57"/>
    <w:rsid w:val="00353330"/>
    <w:rsid w:val="003545F9"/>
    <w:rsid w:val="003568CE"/>
    <w:rsid w:val="0039251C"/>
    <w:rsid w:val="00394567"/>
    <w:rsid w:val="003A5EC5"/>
    <w:rsid w:val="003B1493"/>
    <w:rsid w:val="003E47B3"/>
    <w:rsid w:val="003E4A2F"/>
    <w:rsid w:val="003F7FD6"/>
    <w:rsid w:val="00403646"/>
    <w:rsid w:val="004050EF"/>
    <w:rsid w:val="00412EC2"/>
    <w:rsid w:val="004202E5"/>
    <w:rsid w:val="004221C9"/>
    <w:rsid w:val="00422C4F"/>
    <w:rsid w:val="004259A3"/>
    <w:rsid w:val="00450F58"/>
    <w:rsid w:val="00457CDC"/>
    <w:rsid w:val="004624C8"/>
    <w:rsid w:val="00474652"/>
    <w:rsid w:val="004865E0"/>
    <w:rsid w:val="004A129E"/>
    <w:rsid w:val="004A283B"/>
    <w:rsid w:val="004A7B6F"/>
    <w:rsid w:val="004B0E1C"/>
    <w:rsid w:val="004B2072"/>
    <w:rsid w:val="004B2AB9"/>
    <w:rsid w:val="004C0306"/>
    <w:rsid w:val="004D35C6"/>
    <w:rsid w:val="004E5F7E"/>
    <w:rsid w:val="004F291C"/>
    <w:rsid w:val="004F7D3A"/>
    <w:rsid w:val="005070BE"/>
    <w:rsid w:val="00507BB7"/>
    <w:rsid w:val="00513451"/>
    <w:rsid w:val="005172C4"/>
    <w:rsid w:val="005249F2"/>
    <w:rsid w:val="00531A9D"/>
    <w:rsid w:val="00546570"/>
    <w:rsid w:val="00562BB3"/>
    <w:rsid w:val="00566465"/>
    <w:rsid w:val="00567275"/>
    <w:rsid w:val="0056788A"/>
    <w:rsid w:val="00574650"/>
    <w:rsid w:val="00580042"/>
    <w:rsid w:val="005911EB"/>
    <w:rsid w:val="005A17F2"/>
    <w:rsid w:val="005B19BF"/>
    <w:rsid w:val="005B299C"/>
    <w:rsid w:val="005C5705"/>
    <w:rsid w:val="005D2465"/>
    <w:rsid w:val="005D3F22"/>
    <w:rsid w:val="005E162F"/>
    <w:rsid w:val="005E6371"/>
    <w:rsid w:val="005F1F14"/>
    <w:rsid w:val="00602139"/>
    <w:rsid w:val="00607C91"/>
    <w:rsid w:val="0062398C"/>
    <w:rsid w:val="00627019"/>
    <w:rsid w:val="00632E8A"/>
    <w:rsid w:val="00663293"/>
    <w:rsid w:val="00664E18"/>
    <w:rsid w:val="006722B7"/>
    <w:rsid w:val="0067477E"/>
    <w:rsid w:val="00677AA2"/>
    <w:rsid w:val="00686311"/>
    <w:rsid w:val="00692D7E"/>
    <w:rsid w:val="00696E26"/>
    <w:rsid w:val="006A2DAE"/>
    <w:rsid w:val="006C1676"/>
    <w:rsid w:val="006D5BFB"/>
    <w:rsid w:val="006D74C1"/>
    <w:rsid w:val="006F097F"/>
    <w:rsid w:val="00700726"/>
    <w:rsid w:val="0070359F"/>
    <w:rsid w:val="00704C9C"/>
    <w:rsid w:val="007105E9"/>
    <w:rsid w:val="00713507"/>
    <w:rsid w:val="0072066A"/>
    <w:rsid w:val="00720E8F"/>
    <w:rsid w:val="00723710"/>
    <w:rsid w:val="00723F31"/>
    <w:rsid w:val="007247ED"/>
    <w:rsid w:val="007318E3"/>
    <w:rsid w:val="00732DF2"/>
    <w:rsid w:val="00753D9A"/>
    <w:rsid w:val="007729B3"/>
    <w:rsid w:val="007766B4"/>
    <w:rsid w:val="007872FD"/>
    <w:rsid w:val="00790268"/>
    <w:rsid w:val="00795E8F"/>
    <w:rsid w:val="007A4239"/>
    <w:rsid w:val="007C0129"/>
    <w:rsid w:val="007C3524"/>
    <w:rsid w:val="007D356D"/>
    <w:rsid w:val="007E0C6E"/>
    <w:rsid w:val="007E1A43"/>
    <w:rsid w:val="007E2021"/>
    <w:rsid w:val="007F0250"/>
    <w:rsid w:val="00810A22"/>
    <w:rsid w:val="00817776"/>
    <w:rsid w:val="00822B3D"/>
    <w:rsid w:val="008234F9"/>
    <w:rsid w:val="00823527"/>
    <w:rsid w:val="008339E5"/>
    <w:rsid w:val="00846A63"/>
    <w:rsid w:val="00860951"/>
    <w:rsid w:val="00862638"/>
    <w:rsid w:val="00866236"/>
    <w:rsid w:val="00870778"/>
    <w:rsid w:val="00883D1D"/>
    <w:rsid w:val="00887F13"/>
    <w:rsid w:val="008935E9"/>
    <w:rsid w:val="008A2AC5"/>
    <w:rsid w:val="008A6CD2"/>
    <w:rsid w:val="008B0F29"/>
    <w:rsid w:val="008B4B9E"/>
    <w:rsid w:val="008D4342"/>
    <w:rsid w:val="008D4AD2"/>
    <w:rsid w:val="008D5AAC"/>
    <w:rsid w:val="008D7F0A"/>
    <w:rsid w:val="008E0E16"/>
    <w:rsid w:val="008E36A8"/>
    <w:rsid w:val="008E3FF9"/>
    <w:rsid w:val="008F7C83"/>
    <w:rsid w:val="009038C5"/>
    <w:rsid w:val="009147A0"/>
    <w:rsid w:val="00920E1A"/>
    <w:rsid w:val="00920F38"/>
    <w:rsid w:val="00920F3B"/>
    <w:rsid w:val="00921D6C"/>
    <w:rsid w:val="009252C5"/>
    <w:rsid w:val="00945696"/>
    <w:rsid w:val="009577F3"/>
    <w:rsid w:val="00957E07"/>
    <w:rsid w:val="00963B5E"/>
    <w:rsid w:val="00983F90"/>
    <w:rsid w:val="00991147"/>
    <w:rsid w:val="00992CB9"/>
    <w:rsid w:val="009943F5"/>
    <w:rsid w:val="00996876"/>
    <w:rsid w:val="0099699F"/>
    <w:rsid w:val="009A09B4"/>
    <w:rsid w:val="009A410D"/>
    <w:rsid w:val="009A693A"/>
    <w:rsid w:val="009B5894"/>
    <w:rsid w:val="009B6566"/>
    <w:rsid w:val="009C3AC0"/>
    <w:rsid w:val="009E11AC"/>
    <w:rsid w:val="009E6B12"/>
    <w:rsid w:val="009E7724"/>
    <w:rsid w:val="009F2D71"/>
    <w:rsid w:val="009F79F1"/>
    <w:rsid w:val="00A10600"/>
    <w:rsid w:val="00A127D7"/>
    <w:rsid w:val="00A16398"/>
    <w:rsid w:val="00A21DD3"/>
    <w:rsid w:val="00A36761"/>
    <w:rsid w:val="00A50E7F"/>
    <w:rsid w:val="00A52327"/>
    <w:rsid w:val="00A579E7"/>
    <w:rsid w:val="00A60CA1"/>
    <w:rsid w:val="00A77A88"/>
    <w:rsid w:val="00A97432"/>
    <w:rsid w:val="00AA1609"/>
    <w:rsid w:val="00AA21C3"/>
    <w:rsid w:val="00AC1F10"/>
    <w:rsid w:val="00AC28AD"/>
    <w:rsid w:val="00AC6024"/>
    <w:rsid w:val="00AD0174"/>
    <w:rsid w:val="00AD0274"/>
    <w:rsid w:val="00AD1F43"/>
    <w:rsid w:val="00AD67B3"/>
    <w:rsid w:val="00AF4E96"/>
    <w:rsid w:val="00AF5F18"/>
    <w:rsid w:val="00AF76CF"/>
    <w:rsid w:val="00B21B81"/>
    <w:rsid w:val="00B35333"/>
    <w:rsid w:val="00B70204"/>
    <w:rsid w:val="00B711A7"/>
    <w:rsid w:val="00B83ADB"/>
    <w:rsid w:val="00B8662D"/>
    <w:rsid w:val="00B86BC6"/>
    <w:rsid w:val="00B94E4E"/>
    <w:rsid w:val="00BA52A0"/>
    <w:rsid w:val="00BC0A2A"/>
    <w:rsid w:val="00BC7FAB"/>
    <w:rsid w:val="00BD1FA9"/>
    <w:rsid w:val="00BD6A83"/>
    <w:rsid w:val="00C001E2"/>
    <w:rsid w:val="00C14134"/>
    <w:rsid w:val="00C17D58"/>
    <w:rsid w:val="00C24CC5"/>
    <w:rsid w:val="00C41BD6"/>
    <w:rsid w:val="00C57320"/>
    <w:rsid w:val="00C64A99"/>
    <w:rsid w:val="00C665B9"/>
    <w:rsid w:val="00C67B72"/>
    <w:rsid w:val="00CA03AA"/>
    <w:rsid w:val="00CA53FA"/>
    <w:rsid w:val="00CB3CFB"/>
    <w:rsid w:val="00CC024A"/>
    <w:rsid w:val="00CC2CDF"/>
    <w:rsid w:val="00CF3372"/>
    <w:rsid w:val="00D042F1"/>
    <w:rsid w:val="00D17427"/>
    <w:rsid w:val="00D176B5"/>
    <w:rsid w:val="00D17F8A"/>
    <w:rsid w:val="00D37D06"/>
    <w:rsid w:val="00D406E8"/>
    <w:rsid w:val="00D460CD"/>
    <w:rsid w:val="00D5409C"/>
    <w:rsid w:val="00D65066"/>
    <w:rsid w:val="00D72A17"/>
    <w:rsid w:val="00D91AE2"/>
    <w:rsid w:val="00D9323D"/>
    <w:rsid w:val="00D95E2F"/>
    <w:rsid w:val="00D97EC7"/>
    <w:rsid w:val="00DB4F0C"/>
    <w:rsid w:val="00DC67B2"/>
    <w:rsid w:val="00DE620D"/>
    <w:rsid w:val="00DF180E"/>
    <w:rsid w:val="00DF61B7"/>
    <w:rsid w:val="00DF7D7E"/>
    <w:rsid w:val="00E02274"/>
    <w:rsid w:val="00E025B5"/>
    <w:rsid w:val="00E3790F"/>
    <w:rsid w:val="00E37C10"/>
    <w:rsid w:val="00E434EC"/>
    <w:rsid w:val="00E470F4"/>
    <w:rsid w:val="00E52B8E"/>
    <w:rsid w:val="00E53D35"/>
    <w:rsid w:val="00E55B97"/>
    <w:rsid w:val="00E63331"/>
    <w:rsid w:val="00E65CE6"/>
    <w:rsid w:val="00EA2F33"/>
    <w:rsid w:val="00EB2BA3"/>
    <w:rsid w:val="00ED0ADA"/>
    <w:rsid w:val="00EF26E2"/>
    <w:rsid w:val="00F002E1"/>
    <w:rsid w:val="00F01468"/>
    <w:rsid w:val="00F06528"/>
    <w:rsid w:val="00F11A5D"/>
    <w:rsid w:val="00F139DD"/>
    <w:rsid w:val="00F152F2"/>
    <w:rsid w:val="00F15A93"/>
    <w:rsid w:val="00F163D3"/>
    <w:rsid w:val="00F17139"/>
    <w:rsid w:val="00F42108"/>
    <w:rsid w:val="00F51571"/>
    <w:rsid w:val="00F768B4"/>
    <w:rsid w:val="00F82BF5"/>
    <w:rsid w:val="00F843C4"/>
    <w:rsid w:val="00F92672"/>
    <w:rsid w:val="00F9279C"/>
    <w:rsid w:val="00F94286"/>
    <w:rsid w:val="00F96BD6"/>
    <w:rsid w:val="00FA12D2"/>
    <w:rsid w:val="00FA1652"/>
    <w:rsid w:val="00FA5EBF"/>
    <w:rsid w:val="00FB1D64"/>
    <w:rsid w:val="00FB5EAF"/>
    <w:rsid w:val="00FB7064"/>
    <w:rsid w:val="00FD2D88"/>
    <w:rsid w:val="00FD45EA"/>
    <w:rsid w:val="00FE0C6E"/>
    <w:rsid w:val="00FF11EA"/>
    <w:rsid w:val="00FF1B26"/>
    <w:rsid w:val="00FF27C8"/>
    <w:rsid w:val="00FF3698"/>
    <w:rsid w:val="00FF674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079"/>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107079"/>
    <w:pPr>
      <w:keepNext/>
      <w:keepLines/>
      <w:spacing w:before="40"/>
      <w:outlineLvl w:val="2"/>
    </w:pPr>
    <w:rPr>
      <w:rFonts w:ascii="Arial" w:eastAsiaTheme="majorEastAsia" w:hAnsi="Arial" w:cstheme="majorBidi"/>
      <w:b/>
      <w:szCs w:val="24"/>
    </w:rPr>
  </w:style>
  <w:style w:type="paragraph" w:styleId="Heading4">
    <w:name w:val="heading 4"/>
    <w:basedOn w:val="Normal"/>
    <w:next w:val="Normal"/>
    <w:link w:val="Heading4Char"/>
    <w:unhideWhenUsed/>
    <w:qFormat/>
    <w:rsid w:val="004F291C"/>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 w:type="character" w:customStyle="1" w:styleId="Heading3Char">
    <w:name w:val="Heading 3 Char"/>
    <w:basedOn w:val="DefaultParagraphFont"/>
    <w:link w:val="Heading3"/>
    <w:rsid w:val="00107079"/>
    <w:rPr>
      <w:rFonts w:ascii="Arial" w:eastAsiaTheme="majorEastAsia" w:hAnsi="Arial" w:cstheme="majorBidi"/>
      <w:b/>
      <w:snapToGrid w:val="0"/>
      <w:sz w:val="24"/>
      <w:szCs w:val="24"/>
    </w:rPr>
  </w:style>
  <w:style w:type="character" w:customStyle="1" w:styleId="Heading4Char">
    <w:name w:val="Heading 4 Char"/>
    <w:basedOn w:val="DefaultParagraphFont"/>
    <w:link w:val="Heading4"/>
    <w:rsid w:val="004F291C"/>
    <w:rPr>
      <w:rFonts w:ascii="Arial" w:eastAsiaTheme="majorEastAsia" w:hAnsi="Arial" w:cstheme="majorBidi"/>
      <w:b/>
      <w:iCs/>
      <w:snapToGrid w:val="0"/>
      <w:sz w:val="24"/>
    </w:rPr>
  </w:style>
  <w:style w:type="character" w:customStyle="1" w:styleId="BodyTextChar">
    <w:name w:val="Body Text Char"/>
    <w:basedOn w:val="DefaultParagraphFont"/>
    <w:link w:val="BodyText"/>
    <w:rsid w:val="00107079"/>
    <w:rPr>
      <w:rFonts w:ascii="Arial" w:hAnsi="Arial"/>
      <w:b/>
      <w:snapToGrid w:val="0"/>
      <w:u w:val="single"/>
    </w:rPr>
  </w:style>
  <w:style w:type="character" w:styleId="Hyperlink">
    <w:name w:val="Hyperlink"/>
    <w:basedOn w:val="DefaultParagraphFont"/>
    <w:unhideWhenUsed/>
    <w:rsid w:val="007E0C6E"/>
    <w:rPr>
      <w:color w:val="0000FF" w:themeColor="hyperlink"/>
      <w:u w:val="single"/>
    </w:rPr>
  </w:style>
  <w:style w:type="character" w:styleId="UnresolvedMention">
    <w:name w:val="Unresolved Mention"/>
    <w:basedOn w:val="DefaultParagraphFont"/>
    <w:uiPriority w:val="99"/>
    <w:semiHidden/>
    <w:unhideWhenUsed/>
    <w:rsid w:val="007E0C6E"/>
    <w:rPr>
      <w:color w:val="605E5C"/>
      <w:shd w:val="clear" w:color="auto" w:fill="E1DFDD"/>
    </w:rPr>
  </w:style>
  <w:style w:type="character" w:customStyle="1" w:styleId="sectionnumber">
    <w:name w:val="section_number"/>
    <w:basedOn w:val="DefaultParagraphFont"/>
    <w:rsid w:val="001617BA"/>
  </w:style>
  <w:style w:type="character" w:customStyle="1" w:styleId="level3title">
    <w:name w:val="level3_title"/>
    <w:basedOn w:val="DefaultParagraphFont"/>
    <w:rsid w:val="001617BA"/>
  </w:style>
  <w:style w:type="paragraph" w:styleId="NormalWeb">
    <w:name w:val="Normal (Web)"/>
    <w:basedOn w:val="Normal"/>
    <w:uiPriority w:val="99"/>
    <w:semiHidden/>
    <w:unhideWhenUsed/>
    <w:rsid w:val="001617BA"/>
    <w:pPr>
      <w:widowControl/>
      <w:spacing w:before="100" w:beforeAutospacing="1" w:after="100" w:afterAutospacing="1"/>
    </w:pPr>
    <w:rPr>
      <w:rFonts w:ascii="Times New Roman" w:hAnsi="Times New Roman"/>
      <w:snapToGrid/>
      <w:szCs w:val="24"/>
    </w:rPr>
  </w:style>
  <w:style w:type="character" w:customStyle="1" w:styleId="amendmentca">
    <w:name w:val="amendment_ca"/>
    <w:basedOn w:val="DefaultParagraphFont"/>
    <w:rsid w:val="001617BA"/>
  </w:style>
  <w:style w:type="character" w:customStyle="1" w:styleId="italic">
    <w:name w:val="italic"/>
    <w:basedOn w:val="DefaultParagraphFont"/>
    <w:rsid w:val="001617BA"/>
  </w:style>
  <w:style w:type="character" w:customStyle="1" w:styleId="bold">
    <w:name w:val="bold"/>
    <w:basedOn w:val="DefaultParagraphFont"/>
    <w:rsid w:val="001617BA"/>
  </w:style>
  <w:style w:type="character" w:customStyle="1" w:styleId="label">
    <w:name w:val="label"/>
    <w:basedOn w:val="DefaultParagraphFont"/>
    <w:rsid w:val="0016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9810">
      <w:bodyDiv w:val="1"/>
      <w:marLeft w:val="0"/>
      <w:marRight w:val="0"/>
      <w:marTop w:val="0"/>
      <w:marBottom w:val="0"/>
      <w:divBdr>
        <w:top w:val="none" w:sz="0" w:space="0" w:color="auto"/>
        <w:left w:val="none" w:sz="0" w:space="0" w:color="auto"/>
        <w:bottom w:val="none" w:sz="0" w:space="0" w:color="auto"/>
        <w:right w:val="none" w:sz="0" w:space="0" w:color="auto"/>
      </w:divBdr>
    </w:div>
    <w:div w:id="357313069">
      <w:bodyDiv w:val="1"/>
      <w:marLeft w:val="0"/>
      <w:marRight w:val="0"/>
      <w:marTop w:val="0"/>
      <w:marBottom w:val="0"/>
      <w:divBdr>
        <w:top w:val="none" w:sz="0" w:space="0" w:color="auto"/>
        <w:left w:val="none" w:sz="0" w:space="0" w:color="auto"/>
        <w:bottom w:val="none" w:sz="0" w:space="0" w:color="auto"/>
        <w:right w:val="none" w:sz="0" w:space="0" w:color="auto"/>
      </w:divBdr>
      <w:divsChild>
        <w:div w:id="114251329">
          <w:marLeft w:val="0"/>
          <w:marRight w:val="0"/>
          <w:marTop w:val="0"/>
          <w:marBottom w:val="0"/>
          <w:divBdr>
            <w:top w:val="none" w:sz="0" w:space="0" w:color="auto"/>
            <w:left w:val="none" w:sz="0" w:space="0" w:color="auto"/>
            <w:bottom w:val="none" w:sz="0" w:space="0" w:color="auto"/>
            <w:right w:val="none" w:sz="0" w:space="0" w:color="auto"/>
          </w:divBdr>
          <w:divsChild>
            <w:div w:id="829176349">
              <w:marLeft w:val="0"/>
              <w:marRight w:val="0"/>
              <w:marTop w:val="0"/>
              <w:marBottom w:val="0"/>
              <w:divBdr>
                <w:top w:val="none" w:sz="0" w:space="0" w:color="auto"/>
                <w:left w:val="none" w:sz="0" w:space="0" w:color="auto"/>
                <w:bottom w:val="none" w:sz="0" w:space="0" w:color="auto"/>
                <w:right w:val="none" w:sz="0" w:space="0" w:color="auto"/>
              </w:divBdr>
              <w:divsChild>
                <w:div w:id="1904560364">
                  <w:marLeft w:val="0"/>
                  <w:marRight w:val="0"/>
                  <w:marTop w:val="0"/>
                  <w:marBottom w:val="0"/>
                  <w:divBdr>
                    <w:top w:val="none" w:sz="0" w:space="0" w:color="auto"/>
                    <w:left w:val="none" w:sz="0" w:space="0" w:color="auto"/>
                    <w:bottom w:val="none" w:sz="0" w:space="0" w:color="auto"/>
                    <w:right w:val="none" w:sz="0" w:space="0" w:color="auto"/>
                  </w:divBdr>
                  <w:divsChild>
                    <w:div w:id="4186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1251">
          <w:marLeft w:val="0"/>
          <w:marRight w:val="0"/>
          <w:marTop w:val="0"/>
          <w:marBottom w:val="0"/>
          <w:divBdr>
            <w:top w:val="none" w:sz="0" w:space="0" w:color="auto"/>
            <w:left w:val="none" w:sz="0" w:space="0" w:color="auto"/>
            <w:bottom w:val="none" w:sz="0" w:space="0" w:color="auto"/>
            <w:right w:val="none" w:sz="0" w:space="0" w:color="auto"/>
          </w:divBdr>
          <w:divsChild>
            <w:div w:id="1950816873">
              <w:marLeft w:val="0"/>
              <w:marRight w:val="0"/>
              <w:marTop w:val="0"/>
              <w:marBottom w:val="0"/>
              <w:divBdr>
                <w:top w:val="none" w:sz="0" w:space="0" w:color="auto"/>
                <w:left w:val="none" w:sz="0" w:space="0" w:color="auto"/>
                <w:bottom w:val="none" w:sz="0" w:space="0" w:color="auto"/>
                <w:right w:val="none" w:sz="0" w:space="0" w:color="auto"/>
              </w:divBdr>
              <w:divsChild>
                <w:div w:id="1933975440">
                  <w:marLeft w:val="0"/>
                  <w:marRight w:val="0"/>
                  <w:marTop w:val="0"/>
                  <w:marBottom w:val="0"/>
                  <w:divBdr>
                    <w:top w:val="none" w:sz="0" w:space="0" w:color="auto"/>
                    <w:left w:val="none" w:sz="0" w:space="0" w:color="auto"/>
                    <w:bottom w:val="none" w:sz="0" w:space="0" w:color="auto"/>
                    <w:right w:val="none" w:sz="0" w:space="0" w:color="auto"/>
                  </w:divBdr>
                  <w:divsChild>
                    <w:div w:id="2297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12791792">
      <w:bodyDiv w:val="1"/>
      <w:marLeft w:val="0"/>
      <w:marRight w:val="0"/>
      <w:marTop w:val="0"/>
      <w:marBottom w:val="0"/>
      <w:divBdr>
        <w:top w:val="none" w:sz="0" w:space="0" w:color="auto"/>
        <w:left w:val="none" w:sz="0" w:space="0" w:color="auto"/>
        <w:bottom w:val="none" w:sz="0" w:space="0" w:color="auto"/>
        <w:right w:val="none" w:sz="0" w:space="0" w:color="auto"/>
      </w:divBdr>
      <w:divsChild>
        <w:div w:id="1984387884">
          <w:marLeft w:val="360"/>
          <w:marRight w:val="0"/>
          <w:marTop w:val="75"/>
          <w:marBottom w:val="75"/>
          <w:divBdr>
            <w:top w:val="none" w:sz="0" w:space="0" w:color="auto"/>
            <w:left w:val="none" w:sz="0" w:space="0" w:color="auto"/>
            <w:bottom w:val="none" w:sz="0" w:space="0" w:color="auto"/>
            <w:right w:val="none" w:sz="0" w:space="0" w:color="auto"/>
          </w:divBdr>
          <w:divsChild>
            <w:div w:id="268435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85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FCCAF-5586-417B-84C5-7131CBEEC8BF}">
  <ds:schemaRefs>
    <ds:schemaRef ds:uri="http://schemas.microsoft.com/sharepoint/v3/contenttype/forms"/>
  </ds:schemaRefs>
</ds:datastoreItem>
</file>

<file path=customXml/itemProps2.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customXml/itemProps3.xml><?xml version="1.0" encoding="utf-8"?>
<ds:datastoreItem xmlns:ds="http://schemas.openxmlformats.org/officeDocument/2006/customXml" ds:itemID="{EE7D86B3-2B2F-44DA-9F81-CC52BE516C22}">
  <ds:schemaRefs>
    <ds:schemaRef ds:uri="http://schemas.microsoft.com/office/2006/documentManagement/types"/>
    <ds:schemaRef ds:uri="http://purl.org/dc/dcmitype/"/>
    <ds:schemaRef ds:uri="http://schemas.microsoft.com/office/infopath/2007/PartnerControls"/>
    <ds:schemaRef ds:uri="de349a6f-9dd4-4167-a0ec-0f85ef0207c9"/>
    <ds:schemaRef ds:uri="http://purl.org/dc/elements/1.1/"/>
    <ds:schemaRef ds:uri="http://purl.org/dc/terms/"/>
    <ds:schemaRef ds:uri="http://schemas.openxmlformats.org/package/2006/metadata/core-properties"/>
    <ds:schemaRef ds:uri="http://schemas.microsoft.com/office/2006/metadata/properties"/>
    <ds:schemaRef ds:uri="82071710-83e2-4871-b606-0004f14e9c40"/>
    <ds:schemaRef ds:uri="http://www.w3.org/XML/1998/namespace"/>
  </ds:schemaRefs>
</ds:datastoreItem>
</file>

<file path=customXml/itemProps4.xml><?xml version="1.0" encoding="utf-8"?>
<ds:datastoreItem xmlns:ds="http://schemas.openxmlformats.org/officeDocument/2006/customXml" ds:itemID="{8E1656DB-4B4B-4E07-BF16-E2D4F4F6E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791</Words>
  <Characters>4658</Characters>
  <Application>Microsoft Office Word</Application>
  <DocSecurity>0</DocSecurity>
  <Lines>87</Lines>
  <Paragraphs>32</Paragraphs>
  <ScaleCrop>false</ScaleCrop>
  <HeadingPairs>
    <vt:vector size="2" baseType="variant">
      <vt:variant>
        <vt:lpstr>Title</vt:lpstr>
      </vt:variant>
      <vt:variant>
        <vt:i4>1</vt:i4>
      </vt:variant>
    </vt:vector>
  </HeadingPairs>
  <TitlesOfParts>
    <vt:vector size="1" baseType="lpstr">
      <vt:lpstr>SFM-03-22-IET-ISOR Addendum-Pt2.5</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SFM-07-22-IET-ISOR Addendum-Pt9</dc:title>
  <dc:creator>CBSC</dc:creator>
  <cp:lastModifiedBy>Hagler, Carol@DGS</cp:lastModifiedBy>
  <cp:revision>20</cp:revision>
  <cp:lastPrinted>2021-01-28T23:45:00Z</cp:lastPrinted>
  <dcterms:created xsi:type="dcterms:W3CDTF">2023-02-28T23:03:00Z</dcterms:created>
  <dcterms:modified xsi:type="dcterms:W3CDTF">2023-03-01T01:24:00Z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