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0B1D2AA5" w:rsidR="00704C9C" w:rsidRPr="00AD67B3" w:rsidRDefault="00F163D3" w:rsidP="002F5C0F">
      <w:pPr>
        <w:pStyle w:val="Heading1"/>
      </w:pPr>
      <w:r>
        <w:t>INITIAL</w:t>
      </w:r>
      <w:r w:rsidR="00E3790F">
        <w:t xml:space="preserve"> </w:t>
      </w:r>
      <w:r w:rsidR="000257AD">
        <w:t>EXPRESS TERMS</w:t>
      </w:r>
      <w:r>
        <w:br/>
      </w:r>
      <w:r w:rsidR="000257AD">
        <w:t>FOR</w:t>
      </w:r>
      <w:r w:rsidR="003A5EC5">
        <w:t xml:space="preserve"> </w:t>
      </w:r>
      <w:r w:rsidR="000257AD">
        <w:t>PROPOSED BUILDING STANDARDS</w:t>
      </w:r>
      <w:r>
        <w:br/>
      </w:r>
      <w:r w:rsidR="000257AD">
        <w:t>OF THE</w:t>
      </w:r>
      <w:r w:rsidR="003A5EC5">
        <w:t xml:space="preserve"> </w:t>
      </w:r>
      <w:r w:rsidR="009C4A57">
        <w:t>CALIFORNIA DEPARTMENT OF HOUSING AND COMMUNITY DEVELOPMENT</w:t>
      </w:r>
      <w:r>
        <w:br/>
      </w:r>
      <w:r w:rsidR="000257AD">
        <w:t xml:space="preserve">REGARDING </w:t>
      </w:r>
      <w:r w:rsidR="001701D4">
        <w:t>THE</w:t>
      </w:r>
      <w:r w:rsidR="00DA4E7C">
        <w:t xml:space="preserve"> 2022 CALIFORNIA BUILDING CODE, </w:t>
      </w:r>
      <w:r>
        <w:br/>
      </w:r>
      <w:r w:rsidR="000257AD">
        <w:t xml:space="preserve">CALIFORNIA CODE OF REGULATIONS, TITLE 24, PART </w:t>
      </w:r>
      <w:r w:rsidR="00DA4E7C">
        <w:t>2</w:t>
      </w:r>
      <w:r>
        <w:br/>
      </w:r>
      <w:r w:rsidR="001701D4">
        <w:t>(</w:t>
      </w:r>
      <w:r w:rsidR="00286285">
        <w:t xml:space="preserve">HCD </w:t>
      </w:r>
      <w:r w:rsidR="3F2ADE1F">
        <w:t xml:space="preserve">1-AC </w:t>
      </w:r>
      <w:r w:rsidR="00EB3F26">
        <w:t>01</w:t>
      </w:r>
      <w:r w:rsidR="00286285">
        <w:t>/22</w:t>
      </w:r>
      <w:r w:rsidR="001701D4">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AAD7A41"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sidR="002601CD" w:rsidRPr="00AD67B3">
        <w:rPr>
          <w:rFonts w:cs="Arial"/>
          <w:szCs w:val="24"/>
        </w:rPr>
        <w:t>italic,</w:t>
      </w:r>
      <w:r w:rsidRPr="00AD67B3">
        <w:rPr>
          <w:rFonts w:cs="Arial"/>
          <w:szCs w:val="24"/>
        </w:rPr>
        <w:t xml:space="preserve"> and ellipsis.</w:t>
      </w:r>
    </w:p>
    <w:p w14:paraId="33EA7DEA" w14:textId="24B6C45C" w:rsidR="002F066A" w:rsidRPr="00AD67B3" w:rsidRDefault="002F066A" w:rsidP="002F5C0F">
      <w:pPr>
        <w:pStyle w:val="Heading2"/>
        <w:spacing w:after="0"/>
        <w:rPr>
          <w:rFonts w:cs="Arial"/>
        </w:rPr>
      </w:pPr>
      <w:r w:rsidRPr="7FD4A064">
        <w:rPr>
          <w:rFonts w:cs="Arial"/>
        </w:rPr>
        <w:t xml:space="preserve">LEGEND for EXPRESS TERMS (Based on model codes - Parts 2, 2.5, 3, 4, 5, 9, </w:t>
      </w:r>
      <w:r w:rsidR="0DC4A149" w:rsidRPr="7FD4A064">
        <w:rPr>
          <w:rFonts w:cs="Arial"/>
        </w:rPr>
        <w:t xml:space="preserve">and </w:t>
      </w:r>
      <w:r w:rsidRPr="7FD4A064">
        <w:rPr>
          <w:rFonts w:cs="Arial"/>
        </w:rPr>
        <w:t>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29C965F8"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52C01F0E" w:rsidR="002F066A" w:rsidRPr="00AD67B3" w:rsidRDefault="002F066A" w:rsidP="005859F2">
      <w:pPr>
        <w:pStyle w:val="ListParagraph"/>
        <w:numPr>
          <w:ilvl w:val="0"/>
          <w:numId w:val="5"/>
        </w:numPr>
        <w:spacing w:after="0"/>
        <w:rPr>
          <w:rFonts w:cs="Arial"/>
        </w:rPr>
      </w:pPr>
      <w:r w:rsidRPr="00C8513E">
        <w:t>Ellips</w:t>
      </w:r>
      <w:r w:rsidR="005E3D9B">
        <w:t>e</w:t>
      </w:r>
      <w:r w:rsidRPr="00C8513E">
        <w:t xml:space="preserve">s </w:t>
      </w:r>
      <w:r w:rsidR="002A6653" w:rsidRPr="00C8513E">
        <w:t>(...</w:t>
      </w:r>
      <w:r w:rsidRPr="00C8513E">
        <w:t>) indicate existing text remains unchange</w:t>
      </w:r>
      <w:r w:rsidRPr="00AD67B3">
        <w:rPr>
          <w:rFonts w:eastAsia="Times New Roman" w:cs="Arial"/>
          <w:lang w:eastAsia="ko-KR"/>
        </w:rPr>
        <w:t>d</w:t>
      </w:r>
    </w:p>
    <w:bookmarkEnd w:id="0"/>
    <w:p w14:paraId="185C1602" w14:textId="77777777" w:rsidR="002F066A" w:rsidRPr="00AD67B3" w:rsidRDefault="002F066A" w:rsidP="002F5C0F">
      <w:pPr>
        <w:pBdr>
          <w:bottom w:val="single" w:sz="4" w:space="1" w:color="auto"/>
        </w:pBdr>
        <w:rPr>
          <w:rFonts w:cs="Arial"/>
        </w:rPr>
      </w:pPr>
    </w:p>
    <w:p w14:paraId="442B8D61" w14:textId="66B6FDA9" w:rsidR="000257AD" w:rsidRPr="00AD67B3" w:rsidRDefault="00F163D3" w:rsidP="11B15DBD">
      <w:pPr>
        <w:pStyle w:val="Heading2"/>
      </w:pPr>
      <w:r>
        <w:t>INITIAL</w:t>
      </w:r>
      <w:r w:rsidR="006D74C1">
        <w:t xml:space="preserve"> </w:t>
      </w:r>
      <w:r w:rsidR="000257AD">
        <w:t>EXPRESS TERMS</w:t>
      </w:r>
    </w:p>
    <w:p w14:paraId="08F0C672" w14:textId="273450EE" w:rsidR="002C03CE" w:rsidRPr="00AD67B3" w:rsidRDefault="005B4417" w:rsidP="002F5C0F">
      <w:pPr>
        <w:pStyle w:val="Heading3"/>
        <w:rPr>
          <w:noProof/>
        </w:rPr>
      </w:pPr>
      <w:r w:rsidRPr="00AD67B3">
        <w:t>ITEM</w:t>
      </w:r>
      <w:r w:rsidR="002C03CE" w:rsidRPr="00AD67B3">
        <w:t xml:space="preserve"> </w:t>
      </w:r>
      <w:r w:rsidR="00DF757E">
        <w:t>1</w:t>
      </w:r>
      <w:r w:rsidR="008E0E16">
        <w:br/>
      </w:r>
      <w:r w:rsidR="002C03CE" w:rsidRPr="00AD67B3">
        <w:t xml:space="preserve">Chapter </w:t>
      </w:r>
      <w:r w:rsidR="0019365B">
        <w:rPr>
          <w:noProof/>
        </w:rPr>
        <w:t>1</w:t>
      </w:r>
      <w:r w:rsidR="00EE47D6">
        <w:rPr>
          <w:noProof/>
        </w:rPr>
        <w:t>0</w:t>
      </w:r>
      <w:r w:rsidR="0019365B">
        <w:rPr>
          <w:noProof/>
        </w:rPr>
        <w:t xml:space="preserve"> </w:t>
      </w:r>
      <w:r w:rsidR="007E1FD7" w:rsidRPr="007E1FD7">
        <w:rPr>
          <w:noProof/>
        </w:rPr>
        <w:t>Means of Egress</w:t>
      </w:r>
      <w:r w:rsidR="00AD67B3" w:rsidRPr="00AD67B3">
        <w:rPr>
          <w:noProof/>
        </w:rPr>
        <w:t xml:space="preserve">, </w:t>
      </w:r>
      <w:r w:rsidR="002C03CE" w:rsidRPr="00AD67B3">
        <w:t xml:space="preserve">Section </w:t>
      </w:r>
      <w:r w:rsidR="000E5A9F" w:rsidRPr="009F5712">
        <w:rPr>
          <w:noProof/>
        </w:rPr>
        <w:t>1</w:t>
      </w:r>
      <w:r w:rsidR="004F04BC" w:rsidRPr="009F5712">
        <w:rPr>
          <w:noProof/>
        </w:rPr>
        <w:t>009.2 Continuity and components</w:t>
      </w:r>
      <w:r w:rsidR="007007BA" w:rsidRPr="007007BA">
        <w:rPr>
          <w:i/>
          <w:iCs/>
          <w:noProof/>
        </w:rPr>
        <w:t>.</w:t>
      </w:r>
    </w:p>
    <w:p w14:paraId="52029FFE" w14:textId="212533E8" w:rsidR="002D4B74" w:rsidRPr="00300739" w:rsidRDefault="002D4B74" w:rsidP="002D4B74">
      <w:pPr>
        <w:spacing w:before="120"/>
        <w:rPr>
          <w:noProof/>
        </w:rPr>
      </w:pPr>
      <w:r w:rsidRPr="009F5712">
        <w:rPr>
          <w:b/>
          <w:bCs/>
          <w:noProof/>
        </w:rPr>
        <w:t>1</w:t>
      </w:r>
      <w:r w:rsidR="000D5560" w:rsidRPr="009F5712">
        <w:rPr>
          <w:b/>
          <w:bCs/>
          <w:noProof/>
        </w:rPr>
        <w:t>009.2 Continuity and components</w:t>
      </w:r>
      <w:r w:rsidRPr="009F5712">
        <w:rPr>
          <w:b/>
          <w:bCs/>
          <w:noProof/>
        </w:rPr>
        <w:t>.</w:t>
      </w:r>
      <w:r w:rsidR="009F5712">
        <w:rPr>
          <w:b/>
          <w:bCs/>
          <w:noProof/>
        </w:rPr>
        <w:t xml:space="preserve"> </w:t>
      </w:r>
      <w:r w:rsidR="00677EDE" w:rsidRPr="00300739">
        <w:rPr>
          <w:noProof/>
        </w:rPr>
        <w:t>Each required accessible means of egress shall be continuous to a public way and shall consist of one or more of the following components</w:t>
      </w:r>
      <w:r w:rsidRPr="00300739">
        <w:rPr>
          <w:noProof/>
        </w:rPr>
        <w:t>:</w:t>
      </w:r>
      <w:r w:rsidR="00300739">
        <w:rPr>
          <w:noProof/>
        </w:rPr>
        <w:t xml:space="preserve"> </w:t>
      </w:r>
      <w:r w:rsidR="00300739" w:rsidRPr="007D6FEB">
        <w:rPr>
          <w:rFonts w:cs="Arial"/>
          <w:szCs w:val="24"/>
        </w:rPr>
        <w:t>(No change to model code text.)</w:t>
      </w:r>
    </w:p>
    <w:p w14:paraId="37E847E9" w14:textId="1A63761B" w:rsidR="005E06BB" w:rsidRPr="007D6FEB" w:rsidRDefault="00AC15AA" w:rsidP="7FD4A064">
      <w:pPr>
        <w:pStyle w:val="ListParagraph"/>
        <w:numPr>
          <w:ilvl w:val="0"/>
          <w:numId w:val="25"/>
        </w:numPr>
        <w:autoSpaceDE w:val="0"/>
        <w:autoSpaceDN w:val="0"/>
        <w:adjustRightInd w:val="0"/>
        <w:spacing w:before="120"/>
        <w:ind w:left="720"/>
        <w:contextualSpacing w:val="0"/>
        <w:rPr>
          <w:rFonts w:cs="Arial"/>
          <w:i/>
          <w:iCs/>
        </w:rPr>
      </w:pPr>
      <w:r w:rsidRPr="7FD4A064">
        <w:rPr>
          <w:noProof/>
        </w:rPr>
        <w:t xml:space="preserve">Accessible routes complying with </w:t>
      </w:r>
      <w:r w:rsidRPr="7FD4A064">
        <w:rPr>
          <w:i/>
          <w:iCs/>
          <w:noProof/>
        </w:rPr>
        <w:t xml:space="preserve">Chapter 11A, Sections 1110A.1 and </w:t>
      </w:r>
      <w:r w:rsidRPr="7FD4A064">
        <w:rPr>
          <w:i/>
          <w:iCs/>
          <w:strike/>
          <w:noProof/>
        </w:rPr>
        <w:t>1120A</w:t>
      </w:r>
      <w:r w:rsidRPr="7FD4A064">
        <w:rPr>
          <w:i/>
          <w:iCs/>
          <w:noProof/>
        </w:rPr>
        <w:t xml:space="preserve"> </w:t>
      </w:r>
      <w:r w:rsidRPr="7FD4A064">
        <w:rPr>
          <w:i/>
          <w:iCs/>
          <w:noProof/>
          <w:u w:val="single"/>
        </w:rPr>
        <w:t>1119A</w:t>
      </w:r>
      <w:r w:rsidRPr="00793151">
        <w:rPr>
          <w:i/>
          <w:iCs/>
          <w:noProof/>
        </w:rPr>
        <w:t xml:space="preserve"> or </w:t>
      </w:r>
      <w:r w:rsidRPr="7FD4A064">
        <w:rPr>
          <w:i/>
          <w:iCs/>
          <w:noProof/>
        </w:rPr>
        <w:t>Chapter 11B, Sections 11B-206 and 11B-402</w:t>
      </w:r>
      <w:r w:rsidRPr="7FD4A064">
        <w:rPr>
          <w:noProof/>
        </w:rPr>
        <w:t xml:space="preserve">, </w:t>
      </w:r>
      <w:r w:rsidRPr="00EB3F26">
        <w:rPr>
          <w:i/>
          <w:iCs/>
          <w:noProof/>
        </w:rPr>
        <w:t>as applicable</w:t>
      </w:r>
      <w:r w:rsidR="006428B4" w:rsidRPr="7FD4A064">
        <w:rPr>
          <w:noProof/>
        </w:rPr>
        <w:t>.</w:t>
      </w:r>
    </w:p>
    <w:p w14:paraId="651B89A3" w14:textId="18D91D4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iCs/>
          <w:szCs w:val="24"/>
        </w:rPr>
        <w:t>Interior exit stairways</w:t>
      </w:r>
      <w:r w:rsidRPr="007D6FEB">
        <w:rPr>
          <w:rFonts w:cs="Arial"/>
          <w:i/>
          <w:iCs/>
          <w:szCs w:val="24"/>
        </w:rPr>
        <w:t xml:space="preserve"> </w:t>
      </w:r>
      <w:r w:rsidR="006428B4" w:rsidRPr="00300739">
        <w:rPr>
          <w:noProof/>
        </w:rPr>
        <w:t xml:space="preserve">complying with Sections 1009.3 and 1023, </w:t>
      </w:r>
      <w:r w:rsidR="006428B4" w:rsidRPr="001C2B2B">
        <w:rPr>
          <w:i/>
          <w:iCs/>
          <w:noProof/>
        </w:rPr>
        <w:t>and Chapter 11A, Section 1123A, or Chapter 11B, Sections 11B-210 and 11B-504</w:t>
      </w:r>
      <w:r w:rsidR="006428B4" w:rsidRPr="00300739">
        <w:rPr>
          <w:noProof/>
        </w:rPr>
        <w:t>,</w:t>
      </w:r>
      <w:r w:rsidR="006428B4" w:rsidRPr="00B35EA6">
        <w:rPr>
          <w:i/>
          <w:iCs/>
          <w:noProof/>
        </w:rPr>
        <w:t xml:space="preserve"> as applicable</w:t>
      </w:r>
      <w:r w:rsidR="006428B4">
        <w:rPr>
          <w:noProof/>
        </w:rPr>
        <w:t>.</w:t>
      </w:r>
      <w:r w:rsidR="006428B4" w:rsidRPr="007D6FEB">
        <w:rPr>
          <w:rFonts w:cs="Arial"/>
          <w:szCs w:val="24"/>
        </w:rPr>
        <w:t xml:space="preserve"> </w:t>
      </w:r>
      <w:r w:rsidRPr="007D6FEB">
        <w:rPr>
          <w:rFonts w:cs="Arial"/>
          <w:szCs w:val="24"/>
        </w:rPr>
        <w:t>(No change to existing California amendment.)</w:t>
      </w:r>
    </w:p>
    <w:p w14:paraId="6C7C23CE" w14:textId="1045977D"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szCs w:val="24"/>
        </w:rPr>
        <w:t>E</w:t>
      </w:r>
      <w:r w:rsidRPr="007D6FEB">
        <w:rPr>
          <w:rFonts w:cs="Arial"/>
          <w:iCs/>
          <w:szCs w:val="24"/>
        </w:rPr>
        <w:t>xit access stairways</w:t>
      </w:r>
      <w:r w:rsidRPr="007D6FEB">
        <w:rPr>
          <w:rFonts w:cs="Arial"/>
          <w:szCs w:val="24"/>
        </w:rPr>
        <w:t xml:space="preserve"> </w:t>
      </w:r>
      <w:r w:rsidR="00581A6C" w:rsidRPr="00300739">
        <w:rPr>
          <w:noProof/>
        </w:rPr>
        <w:t xml:space="preserve">complying with Sections 1009.3 and 1019.3 or 1019.4, </w:t>
      </w:r>
      <w:r w:rsidR="00581A6C" w:rsidRPr="001C2B2B">
        <w:rPr>
          <w:i/>
          <w:iCs/>
          <w:noProof/>
        </w:rPr>
        <w:t>Chapter 11A, Section 1123A</w:t>
      </w:r>
      <w:r w:rsidR="00581A6C" w:rsidRPr="00300739">
        <w:rPr>
          <w:noProof/>
        </w:rPr>
        <w:t xml:space="preserve">, or </w:t>
      </w:r>
      <w:r w:rsidR="00581A6C" w:rsidRPr="00581A6C">
        <w:rPr>
          <w:i/>
          <w:iCs/>
          <w:noProof/>
        </w:rPr>
        <w:t>Chapter 11B, Sections 11B-210 and 11B-504</w:t>
      </w:r>
      <w:r w:rsidR="00581A6C" w:rsidRPr="00300739">
        <w:rPr>
          <w:noProof/>
        </w:rPr>
        <w:t xml:space="preserve">, </w:t>
      </w:r>
      <w:r w:rsidR="00581A6C" w:rsidRPr="000D5C49">
        <w:rPr>
          <w:i/>
          <w:iCs/>
          <w:noProof/>
        </w:rPr>
        <w:t>as applicable</w:t>
      </w:r>
      <w:r w:rsidRPr="007D6FEB">
        <w:rPr>
          <w:rFonts w:cs="Arial"/>
          <w:szCs w:val="24"/>
        </w:rPr>
        <w:t xml:space="preserve"> (No change to existing California amendment.)</w:t>
      </w:r>
    </w:p>
    <w:p w14:paraId="71767DC2" w14:textId="069DB5B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Exterior exit stairways</w:t>
      </w:r>
      <w:r w:rsidRPr="007D6FEB">
        <w:rPr>
          <w:rFonts w:cs="Arial"/>
          <w:i/>
          <w:iCs/>
          <w:szCs w:val="24"/>
        </w:rPr>
        <w:t xml:space="preserve"> </w:t>
      </w:r>
      <w:r w:rsidRPr="007D6FEB">
        <w:rPr>
          <w:rFonts w:cs="Arial"/>
          <w:szCs w:val="24"/>
        </w:rPr>
        <w:t xml:space="preserve">complying </w:t>
      </w:r>
      <w:r w:rsidR="006550E1" w:rsidRPr="00300739">
        <w:rPr>
          <w:noProof/>
        </w:rPr>
        <w:t xml:space="preserve">with Sections 1009.3 and 1027, </w:t>
      </w:r>
      <w:r w:rsidR="006550E1" w:rsidRPr="000D5C49">
        <w:rPr>
          <w:i/>
          <w:iCs/>
          <w:noProof/>
        </w:rPr>
        <w:t>and Chapter 11A, Section 1115A, or Chapter 11B, Sections 11B-210 and 11B-504, as applicable,</w:t>
      </w:r>
      <w:r w:rsidR="006550E1" w:rsidRPr="00300739">
        <w:rPr>
          <w:noProof/>
        </w:rPr>
        <w:t xml:space="preserve"> and serving levels other than the level of exit discharge</w:t>
      </w:r>
      <w:r w:rsidR="006550E1">
        <w:rPr>
          <w:noProof/>
        </w:rPr>
        <w:t xml:space="preserve">. </w:t>
      </w:r>
      <w:r w:rsidRPr="007D6FEB">
        <w:rPr>
          <w:rFonts w:cs="Arial"/>
          <w:szCs w:val="24"/>
        </w:rPr>
        <w:t xml:space="preserve"> (No change to existing California amendment.)</w:t>
      </w:r>
    </w:p>
    <w:p w14:paraId="69C37947" w14:textId="0DA83D21"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szCs w:val="24"/>
        </w:rPr>
        <w:t xml:space="preserve">Elevators complying </w:t>
      </w:r>
      <w:r w:rsidR="006550E1" w:rsidRPr="00300739">
        <w:rPr>
          <w:noProof/>
        </w:rPr>
        <w:t xml:space="preserve">with Section 1009.4, </w:t>
      </w:r>
      <w:r w:rsidR="006550E1" w:rsidRPr="000B7552">
        <w:rPr>
          <w:i/>
          <w:iCs/>
          <w:noProof/>
        </w:rPr>
        <w:t>and Chapter 11A, Section 1124A, or Chapter 11B, Sections 11B-206.6 and 11B-407, as applicable</w:t>
      </w:r>
      <w:r w:rsidR="006550E1">
        <w:rPr>
          <w:noProof/>
        </w:rPr>
        <w:t xml:space="preserve">. </w:t>
      </w:r>
      <w:r w:rsidRPr="007D6FEB">
        <w:rPr>
          <w:rFonts w:cs="Arial"/>
          <w:szCs w:val="24"/>
        </w:rPr>
        <w:t xml:space="preserve">(No change to </w:t>
      </w:r>
      <w:r w:rsidRPr="007D6FEB">
        <w:rPr>
          <w:rFonts w:cs="Arial"/>
          <w:szCs w:val="24"/>
        </w:rPr>
        <w:lastRenderedPageBreak/>
        <w:t>existing California amendment.)</w:t>
      </w:r>
    </w:p>
    <w:p w14:paraId="0B10981A" w14:textId="712D1DE1" w:rsidR="005E06BB" w:rsidRPr="007D6FEB" w:rsidRDefault="005E06BB" w:rsidP="005E06BB">
      <w:pPr>
        <w:pStyle w:val="ListParagraph"/>
        <w:widowControl/>
        <w:numPr>
          <w:ilvl w:val="0"/>
          <w:numId w:val="25"/>
        </w:numPr>
        <w:autoSpaceDE w:val="0"/>
        <w:autoSpaceDN w:val="0"/>
        <w:adjustRightInd w:val="0"/>
        <w:spacing w:before="120"/>
        <w:ind w:left="720"/>
        <w:contextualSpacing w:val="0"/>
        <w:rPr>
          <w:rFonts w:cs="Arial"/>
          <w:i/>
          <w:iCs/>
          <w:szCs w:val="24"/>
        </w:rPr>
      </w:pPr>
      <w:r w:rsidRPr="007D6FEB">
        <w:rPr>
          <w:rFonts w:cs="Arial"/>
          <w:szCs w:val="24"/>
        </w:rPr>
        <w:t xml:space="preserve">Platform lifts complying </w:t>
      </w:r>
      <w:r w:rsidR="006211B4" w:rsidRPr="00300739">
        <w:rPr>
          <w:noProof/>
        </w:rPr>
        <w:t xml:space="preserve">with Section 1009.5, </w:t>
      </w:r>
      <w:r w:rsidR="006211B4" w:rsidRPr="000B7552">
        <w:rPr>
          <w:i/>
          <w:iCs/>
          <w:noProof/>
        </w:rPr>
        <w:t>and Chapter 11A, Section 1124A, or Chapter 11B, Sections 11B-206.7, 11B-207.2 and 11B-410 as applicable</w:t>
      </w:r>
      <w:r w:rsidR="006211B4">
        <w:rPr>
          <w:noProof/>
        </w:rPr>
        <w:t>.</w:t>
      </w:r>
      <w:r w:rsidRPr="007D6FEB">
        <w:rPr>
          <w:rFonts w:cs="Arial"/>
          <w:szCs w:val="24"/>
        </w:rPr>
        <w:t xml:space="preserve"> (No change to existing California amendment.)</w:t>
      </w:r>
      <w:r w:rsidRPr="007D6FEB">
        <w:rPr>
          <w:rFonts w:cs="Arial"/>
          <w:i/>
          <w:iCs/>
          <w:szCs w:val="24"/>
        </w:rPr>
        <w:t xml:space="preserve"> </w:t>
      </w:r>
    </w:p>
    <w:p w14:paraId="16A7C1DD" w14:textId="6AE0338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 xml:space="preserve">Horizontal exits </w:t>
      </w:r>
      <w:r w:rsidR="006211B4" w:rsidRPr="00300739">
        <w:rPr>
          <w:noProof/>
        </w:rPr>
        <w:t>complying with Section 1026</w:t>
      </w:r>
      <w:r w:rsidRPr="007D6FEB">
        <w:rPr>
          <w:rFonts w:cs="Arial"/>
          <w:iCs/>
          <w:szCs w:val="24"/>
        </w:rPr>
        <w:t xml:space="preserve"> </w:t>
      </w:r>
      <w:r w:rsidRPr="007D6FEB">
        <w:rPr>
          <w:rFonts w:cs="Arial"/>
          <w:szCs w:val="24"/>
        </w:rPr>
        <w:t>(No change to model Code text.)</w:t>
      </w:r>
    </w:p>
    <w:p w14:paraId="3CC4F967" w14:textId="768FA14D"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iCs/>
          <w:szCs w:val="24"/>
        </w:rPr>
        <w:t>Ramps</w:t>
      </w:r>
      <w:r w:rsidRPr="007D6FEB">
        <w:rPr>
          <w:rFonts w:cs="Arial"/>
          <w:i/>
          <w:iCs/>
          <w:szCs w:val="24"/>
        </w:rPr>
        <w:t xml:space="preserve"> </w:t>
      </w:r>
      <w:r w:rsidRPr="007D6FEB">
        <w:rPr>
          <w:rFonts w:cs="Arial"/>
          <w:szCs w:val="24"/>
        </w:rPr>
        <w:t xml:space="preserve">complying </w:t>
      </w:r>
      <w:r w:rsidR="006211B4" w:rsidRPr="00300739">
        <w:rPr>
          <w:noProof/>
        </w:rPr>
        <w:t xml:space="preserve">with Section 1012, and </w:t>
      </w:r>
      <w:r w:rsidR="006211B4" w:rsidRPr="000B7552">
        <w:rPr>
          <w:i/>
          <w:iCs/>
          <w:noProof/>
        </w:rPr>
        <w:t>Chapter 11A, Sections 1114A and 1122A, or Chapter 11B, 11B-405, as applicable</w:t>
      </w:r>
      <w:r w:rsidR="006211B4">
        <w:rPr>
          <w:noProof/>
        </w:rPr>
        <w:t xml:space="preserve">. </w:t>
      </w:r>
      <w:r w:rsidRPr="007D6FEB">
        <w:rPr>
          <w:rFonts w:cs="Arial"/>
          <w:szCs w:val="24"/>
        </w:rPr>
        <w:t>(No change to existing California amendment.)</w:t>
      </w:r>
    </w:p>
    <w:p w14:paraId="6BA0AE25" w14:textId="38D66D3C"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Areas of refuge</w:t>
      </w:r>
      <w:r w:rsidR="006211B4" w:rsidRPr="006211B4">
        <w:rPr>
          <w:noProof/>
        </w:rPr>
        <w:t xml:space="preserve"> </w:t>
      </w:r>
      <w:r w:rsidR="006211B4" w:rsidRPr="00300739">
        <w:rPr>
          <w:noProof/>
        </w:rPr>
        <w:t>complying with Section 1009.6</w:t>
      </w:r>
      <w:r w:rsidR="00CC7F4A">
        <w:rPr>
          <w:noProof/>
        </w:rPr>
        <w:t>.</w:t>
      </w:r>
      <w:r w:rsidRPr="007D6FEB">
        <w:rPr>
          <w:rFonts w:cs="Arial"/>
          <w:iCs/>
          <w:szCs w:val="24"/>
        </w:rPr>
        <w:t xml:space="preserve"> </w:t>
      </w:r>
      <w:r w:rsidRPr="007D6FEB">
        <w:rPr>
          <w:rFonts w:cs="Arial"/>
          <w:szCs w:val="24"/>
        </w:rPr>
        <w:t xml:space="preserve">(No change to model </w:t>
      </w:r>
      <w:r w:rsidR="00DB7770">
        <w:rPr>
          <w:rFonts w:cs="Arial"/>
          <w:szCs w:val="24"/>
        </w:rPr>
        <w:t>c</w:t>
      </w:r>
      <w:r w:rsidR="00DB7770" w:rsidRPr="007D6FEB">
        <w:rPr>
          <w:rFonts w:cs="Arial"/>
          <w:szCs w:val="24"/>
        </w:rPr>
        <w:t xml:space="preserve">ode </w:t>
      </w:r>
      <w:r w:rsidRPr="007D6FEB">
        <w:rPr>
          <w:rFonts w:cs="Arial"/>
          <w:szCs w:val="24"/>
        </w:rPr>
        <w:t>text.)</w:t>
      </w:r>
    </w:p>
    <w:p w14:paraId="0E45B775" w14:textId="71BB6D8E"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szCs w:val="24"/>
        </w:rPr>
        <w:t xml:space="preserve">Exterior areas </w:t>
      </w:r>
      <w:r w:rsidR="008A0C32" w:rsidRPr="00300739">
        <w:rPr>
          <w:noProof/>
        </w:rPr>
        <w:t>for assisted rescue complying with Section 1009.7 serving exits at the level of exit discharge</w:t>
      </w:r>
      <w:r w:rsidR="008A0C32">
        <w:rPr>
          <w:noProof/>
        </w:rPr>
        <w:t>.</w:t>
      </w:r>
      <w:r w:rsidRPr="007D6FEB">
        <w:rPr>
          <w:rFonts w:cs="Arial"/>
          <w:szCs w:val="24"/>
        </w:rPr>
        <w:t xml:space="preserve"> (No change to model code text.)</w:t>
      </w:r>
    </w:p>
    <w:p w14:paraId="2E392623" w14:textId="47AFD0BA" w:rsidR="002C03CE" w:rsidRPr="00AD67B3" w:rsidRDefault="002C03CE" w:rsidP="00E172D4">
      <w:pPr>
        <w:spacing w:before="120"/>
        <w:rPr>
          <w:rFonts w:cs="Arial"/>
        </w:rPr>
      </w:pPr>
      <w:r w:rsidRPr="00AD67B3">
        <w:rPr>
          <w:rFonts w:cs="Arial"/>
          <w:b/>
        </w:rPr>
        <w:t>Notation:</w:t>
      </w:r>
    </w:p>
    <w:p w14:paraId="6178D757" w14:textId="30778F8B" w:rsidR="002C03CE" w:rsidRPr="006526AF" w:rsidRDefault="002C03CE" w:rsidP="002F5C0F">
      <w:pPr>
        <w:spacing w:before="120"/>
        <w:rPr>
          <w:rFonts w:cs="Arial"/>
        </w:rPr>
      </w:pPr>
      <w:r w:rsidRPr="77F52884">
        <w:rPr>
          <w:rFonts w:cs="Arial"/>
        </w:rPr>
        <w:t xml:space="preserve">Authority: </w:t>
      </w:r>
      <w:r w:rsidR="007D591B">
        <w:t>Health and Safety Code Sections 17040, 17920.9, 17921,</w:t>
      </w:r>
      <w:r w:rsidR="00500519">
        <w:t xml:space="preserve"> </w:t>
      </w:r>
      <w:r w:rsidR="007D591B">
        <w:t>17922,</w:t>
      </w:r>
      <w:r w:rsidR="000836B0">
        <w:t xml:space="preserve"> </w:t>
      </w:r>
      <w:r w:rsidR="00F85357">
        <w:t xml:space="preserve">18300, </w:t>
      </w:r>
      <w:r w:rsidR="007D591B">
        <w:t xml:space="preserve">18620, </w:t>
      </w:r>
      <w:r w:rsidR="003E3E58">
        <w:t>18</w:t>
      </w:r>
      <w:r w:rsidR="00A35203">
        <w:t xml:space="preserve">630, </w:t>
      </w:r>
      <w:r w:rsidR="0091331D" w:rsidRPr="77F52884">
        <w:rPr>
          <w:rFonts w:cs="Arial"/>
        </w:rPr>
        <w:t>18691</w:t>
      </w:r>
      <w:r w:rsidR="001C1947" w:rsidRPr="77F52884">
        <w:rPr>
          <w:rFonts w:cs="Arial"/>
        </w:rPr>
        <w:t>,</w:t>
      </w:r>
      <w:r w:rsidR="007D591B">
        <w:t xml:space="preserve"> 18865, 18871.3, 18873,</w:t>
      </w:r>
      <w:r w:rsidR="004C0FE9">
        <w:t xml:space="preserve"> </w:t>
      </w:r>
      <w:r w:rsidR="007D591B">
        <w:t>18873.1</w:t>
      </w:r>
      <w:r w:rsidR="00F37D20">
        <w:t xml:space="preserve"> through</w:t>
      </w:r>
      <w:r w:rsidR="00DF4EAB">
        <w:t xml:space="preserve"> </w:t>
      </w:r>
      <w:r w:rsidR="007D591B">
        <w:t>18873.5</w:t>
      </w:r>
      <w:r w:rsidR="00F37D20">
        <w:t xml:space="preserve"> and 19990</w:t>
      </w:r>
      <w:r w:rsidR="007D591B">
        <w:t>; and Government Code Sections 12955.1 and 12</w:t>
      </w:r>
      <w:r w:rsidR="007D4DDB">
        <w:t>9</w:t>
      </w:r>
      <w:r w:rsidR="007D591B">
        <w:t>55.</w:t>
      </w:r>
      <w:r w:rsidR="00994FF8">
        <w:t>1</w:t>
      </w:r>
      <w:r w:rsidR="007D591B">
        <w:t>.1</w:t>
      </w:r>
      <w:r w:rsidR="00E64742">
        <w:t>.</w:t>
      </w:r>
    </w:p>
    <w:p w14:paraId="73EA2182" w14:textId="211C7839" w:rsidR="00203931" w:rsidRPr="006526AF" w:rsidRDefault="002C03CE" w:rsidP="00B472B5">
      <w:pPr>
        <w:pBdr>
          <w:bottom w:val="single" w:sz="24" w:space="1" w:color="auto"/>
        </w:pBdr>
        <w:spacing w:before="120"/>
      </w:pPr>
      <w:r w:rsidRPr="1763AD9F">
        <w:rPr>
          <w:rFonts w:cs="Arial"/>
        </w:rPr>
        <w:t xml:space="preserve">Reference(s): </w:t>
      </w:r>
      <w:r w:rsidR="000B58C9">
        <w:t>Health and Safety Code Sections 17000 through 17062.5, 17910 through 17995.5, 18200 through 18700, 18860 through 18874</w:t>
      </w:r>
      <w:r w:rsidR="007B4D45">
        <w:t xml:space="preserve">, </w:t>
      </w:r>
      <w:r w:rsidR="000B58C9">
        <w:t>19960 through 19997;</w:t>
      </w:r>
      <w:r w:rsidR="00A26FA5" w:rsidRPr="1763AD9F">
        <w:rPr>
          <w:rFonts w:cs="Arial"/>
        </w:rPr>
        <w:t xml:space="preserve"> </w:t>
      </w:r>
      <w:r w:rsidR="001C2601" w:rsidRPr="1763AD9F">
        <w:rPr>
          <w:rFonts w:cs="Arial"/>
        </w:rPr>
        <w:t xml:space="preserve">19960 through 19997; </w:t>
      </w:r>
      <w:r w:rsidR="000B58C9">
        <w:t>and Government Code Sections</w:t>
      </w:r>
      <w:r w:rsidR="00120D1B">
        <w:t xml:space="preserve">, </w:t>
      </w:r>
      <w:r w:rsidR="000B58C9">
        <w:t>12955.1</w:t>
      </w:r>
      <w:r w:rsidR="0013148C">
        <w:t xml:space="preserve"> and</w:t>
      </w:r>
      <w:r w:rsidR="000B58C9">
        <w:t xml:space="preserve"> 12955.1.1</w:t>
      </w:r>
    </w:p>
    <w:p w14:paraId="7F0F875C" w14:textId="09AC980A" w:rsidR="0099673E" w:rsidRPr="00AD67B3" w:rsidRDefault="0099673E" w:rsidP="0099673E">
      <w:pPr>
        <w:pStyle w:val="Heading3"/>
        <w:rPr>
          <w:noProof/>
        </w:rPr>
      </w:pPr>
      <w:r w:rsidRPr="00AD67B3">
        <w:t xml:space="preserve">ITEM </w:t>
      </w:r>
      <w:r>
        <w:t>2</w:t>
      </w:r>
      <w:r>
        <w:br/>
      </w:r>
      <w:r w:rsidRPr="00AD67B3">
        <w:t xml:space="preserve">Chapter </w:t>
      </w:r>
      <w:r w:rsidR="006C70C3" w:rsidRPr="006C70C3">
        <w:rPr>
          <w:noProof/>
        </w:rPr>
        <w:t>10 Means of Egress</w:t>
      </w:r>
      <w:r w:rsidRPr="00AD67B3">
        <w:rPr>
          <w:noProof/>
        </w:rPr>
        <w:t xml:space="preserve">, </w:t>
      </w:r>
      <w:r w:rsidRPr="00AD67B3">
        <w:t xml:space="preserve">Section </w:t>
      </w:r>
      <w:r w:rsidR="000B507E" w:rsidRPr="001C7491">
        <w:rPr>
          <w:noProof/>
        </w:rPr>
        <w:t>1010.1.1 Size of doors</w:t>
      </w:r>
    </w:p>
    <w:p w14:paraId="45FAD477" w14:textId="78F9A440" w:rsidR="008F7B8C" w:rsidRPr="00152C2D" w:rsidRDefault="000B507E" w:rsidP="008F7B8C">
      <w:pPr>
        <w:spacing w:before="120"/>
        <w:rPr>
          <w:noProof/>
        </w:rPr>
      </w:pPr>
      <w:r w:rsidRPr="001C7491">
        <w:rPr>
          <w:b/>
          <w:iCs/>
        </w:rPr>
        <w:t>1010.1.1 Size of doors</w:t>
      </w:r>
      <w:r w:rsidR="00C046E3" w:rsidRPr="004B7AD8">
        <w:rPr>
          <w:iCs/>
          <w:noProof/>
        </w:rPr>
        <w:t>.</w:t>
      </w:r>
      <w:r w:rsidR="00432F10" w:rsidRPr="004B7AD8">
        <w:rPr>
          <w:iCs/>
          <w:noProof/>
        </w:rPr>
        <w:t xml:space="preserve"> </w:t>
      </w:r>
      <w:r w:rsidR="008F7B8C" w:rsidRPr="00152C2D">
        <w:rPr>
          <w:noProof/>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w:t>
      </w:r>
      <w:r w:rsidR="008F7B8C" w:rsidRPr="0032766D">
        <w:rPr>
          <w:noProof/>
        </w:rPr>
        <w:t>I-2</w:t>
      </w:r>
      <w:r w:rsidR="008F7B8C" w:rsidRPr="00152C2D">
        <w:rPr>
          <w:noProof/>
        </w:rPr>
        <w:t xml:space="preserve"> or </w:t>
      </w:r>
      <w:r w:rsidR="008F7B8C" w:rsidRPr="00681DFF">
        <w:rPr>
          <w:i/>
          <w:iCs/>
          <w:noProof/>
        </w:rPr>
        <w:t>I-2.1</w:t>
      </w:r>
      <w:r w:rsidR="008F7B8C" w:rsidRPr="00152C2D">
        <w:rPr>
          <w:noProof/>
        </w:rPr>
        <w:t xml:space="preserve">, doors serving as means of egress doors where used for the movement of beds </w:t>
      </w:r>
      <w:r w:rsidR="008F7B8C" w:rsidRPr="00681DFF">
        <w:rPr>
          <w:i/>
          <w:iCs/>
          <w:noProof/>
        </w:rPr>
        <w:t>and stretcher patients</w:t>
      </w:r>
      <w:r w:rsidR="008F7B8C" w:rsidRPr="00152C2D">
        <w:rPr>
          <w:noProof/>
        </w:rPr>
        <w:t xml:space="preserve"> shall provide a minimum clear opening width of </w:t>
      </w:r>
      <w:r w:rsidR="008F7B8C" w:rsidRPr="00B61050">
        <w:rPr>
          <w:i/>
          <w:iCs/>
          <w:noProof/>
        </w:rPr>
        <w:t>44 inches (1118 mm</w:t>
      </w:r>
      <w:r w:rsidR="008F7B8C" w:rsidRPr="00B02D36">
        <w:rPr>
          <w:noProof/>
        </w:rPr>
        <w:t xml:space="preserve">). </w:t>
      </w:r>
      <w:r w:rsidR="008C71FC" w:rsidRPr="00B02D36">
        <w:rPr>
          <w:i/>
          <w:iCs/>
          <w:noProof/>
        </w:rPr>
        <w:t>Where this section requires a minimum clear opening width of 44 inches (1118</w:t>
      </w:r>
      <w:r w:rsidR="00021152" w:rsidRPr="00B02D36">
        <w:rPr>
          <w:i/>
          <w:iCs/>
          <w:noProof/>
        </w:rPr>
        <w:t xml:space="preserve"> mm) and a door opening includes two door leaves without a mu</w:t>
      </w:r>
      <w:r w:rsidR="00510D19" w:rsidRPr="00B02D36">
        <w:rPr>
          <w:i/>
          <w:iCs/>
          <w:noProof/>
        </w:rPr>
        <w:t xml:space="preserve">llion, one leaf shall provide a minimum clear opening width of 44 inches (1118 mm). </w:t>
      </w:r>
      <w:r w:rsidR="008F7B8C" w:rsidRPr="00152C2D">
        <w:rPr>
          <w:noProof/>
        </w:rPr>
        <w:t>The minimum clear opening height of doors shall be not less than 80 inches (2032 mm).</w:t>
      </w:r>
      <w:r w:rsidR="00903F09" w:rsidRPr="00903F09">
        <w:t xml:space="preserve"> </w:t>
      </w:r>
      <w:r w:rsidR="00903F09" w:rsidRPr="00903F09">
        <w:rPr>
          <w:noProof/>
        </w:rPr>
        <w:t xml:space="preserve">(No change to </w:t>
      </w:r>
      <w:r w:rsidR="003B6B53" w:rsidRPr="003B6B53">
        <w:rPr>
          <w:noProof/>
        </w:rPr>
        <w:t>existing California amendment</w:t>
      </w:r>
      <w:r w:rsidR="00903F09" w:rsidRPr="00903F09">
        <w:rPr>
          <w:noProof/>
        </w:rPr>
        <w:t>.)</w:t>
      </w:r>
    </w:p>
    <w:p w14:paraId="42B5ADE6" w14:textId="77777777" w:rsidR="008F7B8C" w:rsidRPr="00B52138" w:rsidRDefault="008F7B8C" w:rsidP="00853079">
      <w:pPr>
        <w:spacing w:before="120"/>
        <w:rPr>
          <w:b/>
          <w:bCs/>
          <w:noProof/>
        </w:rPr>
      </w:pPr>
      <w:r w:rsidRPr="00B52138">
        <w:rPr>
          <w:b/>
          <w:bCs/>
          <w:noProof/>
        </w:rPr>
        <w:t>Exceptions:</w:t>
      </w:r>
    </w:p>
    <w:p w14:paraId="4CDFD0A2" w14:textId="294FEC2D" w:rsidR="006039CE" w:rsidRPr="004B7AD8" w:rsidRDefault="004B7AD8" w:rsidP="004B7AD8">
      <w:pPr>
        <w:autoSpaceDE w:val="0"/>
        <w:autoSpaceDN w:val="0"/>
        <w:adjustRightInd w:val="0"/>
        <w:spacing w:before="120"/>
        <w:ind w:left="720" w:hanging="360"/>
        <w:rPr>
          <w:rFonts w:cs="Arial"/>
          <w:i/>
          <w:iCs/>
          <w:szCs w:val="24"/>
        </w:rPr>
      </w:pPr>
      <w:r>
        <w:rPr>
          <w:noProof/>
        </w:rPr>
        <w:t xml:space="preserve">1. </w:t>
      </w:r>
      <w:r w:rsidR="006039CE" w:rsidRPr="00B4584E">
        <w:rPr>
          <w:noProof/>
        </w:rPr>
        <w:t xml:space="preserve">In Group R-2 and R-3 dwelling and sleeping units that are not required to be </w:t>
      </w:r>
      <w:r w:rsidR="006039CE" w:rsidRPr="004B7AD8">
        <w:rPr>
          <w:i/>
          <w:iCs/>
          <w:noProof/>
        </w:rPr>
        <w:t>adaptable or accessible as specified in Chapter 11A,</w:t>
      </w:r>
      <w:r w:rsidR="006039CE" w:rsidRPr="00B4584E">
        <w:rPr>
          <w:noProof/>
        </w:rPr>
        <w:t xml:space="preserve"> the minimum and maximum width shall not apply to door openings that are not part of the required means of egress</w:t>
      </w:r>
      <w:r w:rsidR="006039CE">
        <w:rPr>
          <w:noProof/>
        </w:rPr>
        <w:t>.</w:t>
      </w:r>
      <w:r w:rsidR="00B35908">
        <w:rPr>
          <w:noProof/>
        </w:rPr>
        <w:t xml:space="preserve"> (No change to existing California </w:t>
      </w:r>
      <w:r w:rsidR="009F6548">
        <w:rPr>
          <w:noProof/>
        </w:rPr>
        <w:t>amendment.)</w:t>
      </w:r>
    </w:p>
    <w:p w14:paraId="4153B75C" w14:textId="5C11EBAE" w:rsidR="006039CE" w:rsidRPr="004B7AD8" w:rsidRDefault="004B7AD8" w:rsidP="004B7AD8">
      <w:pPr>
        <w:autoSpaceDE w:val="0"/>
        <w:autoSpaceDN w:val="0"/>
        <w:adjustRightInd w:val="0"/>
        <w:spacing w:before="120"/>
        <w:ind w:left="720" w:hanging="360"/>
        <w:rPr>
          <w:rFonts w:cs="Arial"/>
          <w:i/>
          <w:iCs/>
          <w:szCs w:val="24"/>
        </w:rPr>
      </w:pPr>
      <w:r>
        <w:rPr>
          <w:noProof/>
        </w:rPr>
        <w:t xml:space="preserve">2. </w:t>
      </w:r>
      <w:r w:rsidR="006039CE" w:rsidRPr="00B4584E">
        <w:rPr>
          <w:noProof/>
        </w:rPr>
        <w:t xml:space="preserve">In Group I-3, door openings to resident sleeping units that are not required to be </w:t>
      </w:r>
      <w:r w:rsidR="006039CE" w:rsidRPr="004B7AD8">
        <w:rPr>
          <w:i/>
          <w:iCs/>
          <w:noProof/>
        </w:rPr>
        <w:t>adaptable or accessible as specified in Chapter 11A</w:t>
      </w:r>
      <w:r w:rsidR="006039CE" w:rsidRPr="00B4584E">
        <w:rPr>
          <w:noProof/>
        </w:rPr>
        <w:t>, shall have a minimum clear opening width of 28 inches (711 mm)</w:t>
      </w:r>
      <w:r w:rsidR="006039CE">
        <w:rPr>
          <w:noProof/>
        </w:rPr>
        <w:t>.</w:t>
      </w:r>
      <w:r w:rsidR="006039CE" w:rsidRPr="004B7AD8">
        <w:rPr>
          <w:rFonts w:cs="Arial"/>
          <w:szCs w:val="24"/>
        </w:rPr>
        <w:t xml:space="preserve"> (No change to </w:t>
      </w:r>
      <w:r w:rsidR="00C03DC3">
        <w:rPr>
          <w:noProof/>
        </w:rPr>
        <w:t>existing California amendment</w:t>
      </w:r>
      <w:r w:rsidR="006039CE" w:rsidRPr="004B7AD8">
        <w:rPr>
          <w:rFonts w:cs="Arial"/>
          <w:szCs w:val="24"/>
        </w:rPr>
        <w:t>.)</w:t>
      </w:r>
    </w:p>
    <w:p w14:paraId="1B1F6EED" w14:textId="5304F090" w:rsidR="00585845" w:rsidRPr="004B7AD8" w:rsidRDefault="004B7AD8" w:rsidP="004B7AD8">
      <w:pPr>
        <w:autoSpaceDE w:val="0"/>
        <w:autoSpaceDN w:val="0"/>
        <w:adjustRightInd w:val="0"/>
        <w:spacing w:before="120"/>
        <w:ind w:left="720" w:hanging="360"/>
        <w:rPr>
          <w:rFonts w:cs="Arial"/>
          <w:i/>
          <w:iCs/>
          <w:szCs w:val="24"/>
        </w:rPr>
      </w:pPr>
      <w:r>
        <w:rPr>
          <w:noProof/>
        </w:rPr>
        <w:lastRenderedPageBreak/>
        <w:t xml:space="preserve">3. </w:t>
      </w:r>
      <w:r w:rsidR="001B66ED" w:rsidRPr="00B4584E">
        <w:rPr>
          <w:noProof/>
        </w:rPr>
        <w:t>Door openings to storage closets less than 10 square feet (0.93 m2) in area shall not be limited by the minimum clear opening width</w:t>
      </w:r>
      <w:r w:rsidR="00F050FC">
        <w:rPr>
          <w:noProof/>
        </w:rPr>
        <w:t xml:space="preserve">. </w:t>
      </w:r>
      <w:r w:rsidR="00F050FC" w:rsidRPr="004B7AD8">
        <w:rPr>
          <w:rFonts w:cs="Arial"/>
          <w:szCs w:val="24"/>
        </w:rPr>
        <w:t>(No change to model code text.)</w:t>
      </w:r>
    </w:p>
    <w:p w14:paraId="02AB7F43" w14:textId="09079CFC" w:rsidR="00C3329A" w:rsidRPr="004B7AD8" w:rsidRDefault="004B7AD8" w:rsidP="004B7AD8">
      <w:pPr>
        <w:autoSpaceDE w:val="0"/>
        <w:autoSpaceDN w:val="0"/>
        <w:adjustRightInd w:val="0"/>
        <w:spacing w:before="120"/>
        <w:ind w:left="720" w:hanging="360"/>
        <w:rPr>
          <w:rFonts w:cs="Arial"/>
          <w:i/>
          <w:iCs/>
          <w:szCs w:val="24"/>
        </w:rPr>
      </w:pPr>
      <w:r>
        <w:rPr>
          <w:noProof/>
        </w:rPr>
        <w:t xml:space="preserve">4. </w:t>
      </w:r>
      <w:r w:rsidR="00C3329A" w:rsidRPr="00B4584E">
        <w:rPr>
          <w:noProof/>
        </w:rPr>
        <w:t>The maximum width of door leaves in revolving doors that comply with Section 1010.3.1 shall not be limited</w:t>
      </w:r>
      <w:r w:rsidR="00EE0CAE" w:rsidRPr="004B7AD8">
        <w:rPr>
          <w:rFonts w:cs="Arial"/>
          <w:szCs w:val="24"/>
        </w:rPr>
        <w:t xml:space="preserve">. </w:t>
      </w:r>
      <w:r w:rsidR="00C3329A" w:rsidRPr="004B7AD8">
        <w:rPr>
          <w:rFonts w:cs="Arial"/>
          <w:szCs w:val="24"/>
        </w:rPr>
        <w:t>(No change to model code text.)</w:t>
      </w:r>
    </w:p>
    <w:p w14:paraId="0F802E87" w14:textId="60F4D0F2" w:rsidR="00EE0CAE" w:rsidRPr="004B7AD8" w:rsidRDefault="004B7AD8" w:rsidP="004B7AD8">
      <w:pPr>
        <w:autoSpaceDE w:val="0"/>
        <w:autoSpaceDN w:val="0"/>
        <w:adjustRightInd w:val="0"/>
        <w:spacing w:before="120"/>
        <w:ind w:left="720" w:hanging="360"/>
        <w:rPr>
          <w:rFonts w:cs="Arial"/>
          <w:i/>
          <w:iCs/>
          <w:szCs w:val="24"/>
        </w:rPr>
      </w:pPr>
      <w:r>
        <w:rPr>
          <w:noProof/>
        </w:rPr>
        <w:t xml:space="preserve">5. </w:t>
      </w:r>
      <w:r w:rsidR="002A3DCE" w:rsidRPr="00B4584E">
        <w:rPr>
          <w:noProof/>
        </w:rPr>
        <w:t>The maximum width of door leaves in poweroperated doors that comply with Section 1010.3.2 shall not be limited</w:t>
      </w:r>
      <w:r w:rsidR="002A3DCE" w:rsidRPr="004B7AD8">
        <w:rPr>
          <w:rFonts w:cs="Arial"/>
          <w:szCs w:val="24"/>
        </w:rPr>
        <w:t xml:space="preserve"> </w:t>
      </w:r>
      <w:r w:rsidR="00EE0CAE" w:rsidRPr="004B7AD8">
        <w:rPr>
          <w:rFonts w:cs="Arial"/>
          <w:szCs w:val="24"/>
        </w:rPr>
        <w:t>(No change to model code text.)</w:t>
      </w:r>
    </w:p>
    <w:p w14:paraId="405E141F" w14:textId="7DB62B62" w:rsidR="00EE0CAE" w:rsidRPr="004B7AD8" w:rsidRDefault="004B7AD8" w:rsidP="004B7AD8">
      <w:pPr>
        <w:autoSpaceDE w:val="0"/>
        <w:autoSpaceDN w:val="0"/>
        <w:adjustRightInd w:val="0"/>
        <w:spacing w:before="120"/>
        <w:ind w:left="720" w:hanging="360"/>
        <w:rPr>
          <w:rFonts w:cs="Arial"/>
          <w:i/>
          <w:iCs/>
          <w:szCs w:val="24"/>
        </w:rPr>
      </w:pPr>
      <w:r>
        <w:rPr>
          <w:noProof/>
        </w:rPr>
        <w:t xml:space="preserve">6. </w:t>
      </w:r>
      <w:r w:rsidR="002A3DCE" w:rsidRPr="00B4584E">
        <w:rPr>
          <w:noProof/>
        </w:rPr>
        <w:t>Door openings within a dwelling unit or sleeping unit shall have a minimum clear opening height of 78 inches (1981 mm)</w:t>
      </w:r>
      <w:r w:rsidR="002A3DCE" w:rsidRPr="004B7AD8">
        <w:rPr>
          <w:rFonts w:cs="Arial"/>
          <w:szCs w:val="24"/>
        </w:rPr>
        <w:t xml:space="preserve">. </w:t>
      </w:r>
      <w:r w:rsidR="00EE0CAE" w:rsidRPr="004B7AD8">
        <w:rPr>
          <w:rFonts w:cs="Arial"/>
          <w:szCs w:val="24"/>
        </w:rPr>
        <w:t>(No change to model code text.)</w:t>
      </w:r>
    </w:p>
    <w:p w14:paraId="669511B0" w14:textId="53E99EF0" w:rsidR="004B7AD8" w:rsidRPr="004B7AD8" w:rsidRDefault="004B7AD8" w:rsidP="004B7AD8">
      <w:pPr>
        <w:autoSpaceDE w:val="0"/>
        <w:autoSpaceDN w:val="0"/>
        <w:adjustRightInd w:val="0"/>
        <w:spacing w:before="120"/>
        <w:ind w:left="720" w:hanging="360"/>
        <w:rPr>
          <w:rFonts w:cs="Arial"/>
          <w:i/>
          <w:iCs/>
          <w:szCs w:val="24"/>
        </w:rPr>
      </w:pPr>
      <w:r>
        <w:rPr>
          <w:noProof/>
        </w:rPr>
        <w:t xml:space="preserve">7. </w:t>
      </w:r>
      <w:r w:rsidR="002A3DCE" w:rsidRPr="00B4584E">
        <w:rPr>
          <w:noProof/>
        </w:rPr>
        <w:t xml:space="preserve">In dwelling and sleeping units that are not required to be </w:t>
      </w:r>
      <w:r w:rsidR="002A3DCE" w:rsidRPr="004B7AD8">
        <w:rPr>
          <w:i/>
          <w:iCs/>
          <w:noProof/>
        </w:rPr>
        <w:t>adaptable or accessible as specified in Chapter 11A</w:t>
      </w:r>
      <w:r w:rsidR="002A3DCE" w:rsidRPr="00B4584E">
        <w:rPr>
          <w:noProof/>
        </w:rPr>
        <w:t>, exterior door openings other than the required exit door shall have a minimum clear opening height of 76 inches (1930 mm</w:t>
      </w:r>
      <w:r w:rsidR="008E5A59">
        <w:rPr>
          <w:noProof/>
        </w:rPr>
        <w:t>).</w:t>
      </w:r>
      <w:r w:rsidR="002A3DCE" w:rsidRPr="004B7AD8">
        <w:rPr>
          <w:rFonts w:cs="Arial"/>
          <w:szCs w:val="24"/>
        </w:rPr>
        <w:t xml:space="preserve"> </w:t>
      </w:r>
      <w:r w:rsidR="00EE0CAE" w:rsidRPr="004B7AD8">
        <w:rPr>
          <w:rFonts w:cs="Arial"/>
          <w:szCs w:val="24"/>
        </w:rPr>
        <w:t xml:space="preserve">(No change to </w:t>
      </w:r>
      <w:r w:rsidR="008E5A59">
        <w:rPr>
          <w:noProof/>
        </w:rPr>
        <w:t>existing California amendment</w:t>
      </w:r>
      <w:r w:rsidR="00EE0CAE" w:rsidRPr="004B7AD8">
        <w:rPr>
          <w:rFonts w:cs="Arial"/>
          <w:szCs w:val="24"/>
        </w:rPr>
        <w:t>.)</w:t>
      </w:r>
    </w:p>
    <w:p w14:paraId="5267B75C" w14:textId="121B64D5" w:rsidR="004B7AD8" w:rsidRPr="004B7AD8" w:rsidRDefault="004B7AD8" w:rsidP="004B7AD8">
      <w:pPr>
        <w:autoSpaceDE w:val="0"/>
        <w:autoSpaceDN w:val="0"/>
        <w:adjustRightInd w:val="0"/>
        <w:spacing w:before="120"/>
        <w:ind w:left="720" w:hanging="360"/>
        <w:rPr>
          <w:rFonts w:cs="Arial"/>
          <w:i/>
          <w:iCs/>
          <w:szCs w:val="24"/>
        </w:rPr>
      </w:pPr>
      <w:r>
        <w:rPr>
          <w:noProof/>
        </w:rPr>
        <w:t xml:space="preserve">8. </w:t>
      </w:r>
      <w:r w:rsidR="002A3DCE" w:rsidRPr="00B4584E">
        <w:rPr>
          <w:noProof/>
        </w:rPr>
        <w:t xml:space="preserve">In Groups R-2, R-3 and R-4, in dwelling and sleeping units that are not required to be </w:t>
      </w:r>
      <w:r w:rsidR="002A3DCE" w:rsidRPr="004B7AD8">
        <w:rPr>
          <w:i/>
          <w:iCs/>
          <w:noProof/>
        </w:rPr>
        <w:t>adaptable or accessible as specified in Chapter 11A</w:t>
      </w:r>
      <w:r w:rsidR="002A3DCE" w:rsidRPr="00B4584E">
        <w:rPr>
          <w:noProof/>
        </w:rPr>
        <w:t>, the minimum clear opening widths shall not apply to interior egress doors</w:t>
      </w:r>
      <w:r w:rsidR="00861F79">
        <w:rPr>
          <w:noProof/>
        </w:rPr>
        <w:t>.</w:t>
      </w:r>
      <w:r w:rsidR="002A3DCE" w:rsidRPr="004B7AD8">
        <w:rPr>
          <w:rFonts w:cs="Arial"/>
          <w:szCs w:val="24"/>
        </w:rPr>
        <w:t xml:space="preserve"> </w:t>
      </w:r>
      <w:r w:rsidR="00EE0CAE" w:rsidRPr="004B7AD8">
        <w:rPr>
          <w:rFonts w:cs="Arial"/>
          <w:szCs w:val="24"/>
        </w:rPr>
        <w:t xml:space="preserve">(No change to </w:t>
      </w:r>
      <w:r w:rsidR="008E5A59">
        <w:rPr>
          <w:noProof/>
        </w:rPr>
        <w:t>existing California amendment</w:t>
      </w:r>
      <w:r w:rsidR="00EE0CAE" w:rsidRPr="004B7AD8">
        <w:rPr>
          <w:rFonts w:cs="Arial"/>
          <w:szCs w:val="24"/>
        </w:rPr>
        <w:t>.)</w:t>
      </w:r>
    </w:p>
    <w:p w14:paraId="0C52CAC1" w14:textId="711A29D0" w:rsidR="00AF62A0" w:rsidRPr="004B7AD8" w:rsidRDefault="004B7AD8" w:rsidP="004B7AD8">
      <w:pPr>
        <w:ind w:left="720" w:hanging="360"/>
        <w:rPr>
          <w:rFonts w:cs="Arial"/>
          <w:i/>
          <w:iCs/>
          <w:szCs w:val="24"/>
        </w:rPr>
      </w:pPr>
      <w:r w:rsidRPr="00793151">
        <w:rPr>
          <w:i/>
          <w:iCs/>
          <w:noProof/>
        </w:rPr>
        <w:t>9</w:t>
      </w:r>
      <w:r>
        <w:rPr>
          <w:noProof/>
        </w:rPr>
        <w:t xml:space="preserve">. </w:t>
      </w:r>
      <w:r w:rsidR="00AF62A0" w:rsidRPr="00B4584E">
        <w:rPr>
          <w:noProof/>
        </w:rPr>
        <w:t>Doors to walk-in freezers and coolers less than 1,000 square feet (93 m2) in area shall have a maximum width of 60 inches (1524 mm) nominal</w:t>
      </w:r>
      <w:r w:rsidR="00AF62A0">
        <w:rPr>
          <w:noProof/>
        </w:rPr>
        <w:t xml:space="preserve">. </w:t>
      </w:r>
      <w:r w:rsidR="00AF62A0" w:rsidRPr="004B7AD8">
        <w:rPr>
          <w:rFonts w:cs="Arial"/>
          <w:szCs w:val="24"/>
        </w:rPr>
        <w:t>(No change to model code text.)</w:t>
      </w:r>
    </w:p>
    <w:p w14:paraId="51FCD5CB" w14:textId="6B366D38" w:rsidR="008F7B8C" w:rsidRPr="00173941" w:rsidRDefault="00173941" w:rsidP="004B7AD8">
      <w:pPr>
        <w:ind w:left="720" w:hanging="360"/>
        <w:rPr>
          <w:strike/>
          <w:noProof/>
        </w:rPr>
      </w:pPr>
      <w:r w:rsidRPr="004B7AD8">
        <w:rPr>
          <w:i/>
          <w:iCs/>
          <w:strike/>
          <w:noProof/>
        </w:rPr>
        <w:t>10</w:t>
      </w:r>
      <w:r w:rsidRPr="004A001D">
        <w:rPr>
          <w:strike/>
          <w:noProof/>
        </w:rPr>
        <w:t>.</w:t>
      </w:r>
      <w:r w:rsidR="008F7B8C" w:rsidRPr="00B277A5">
        <w:rPr>
          <w:strike/>
          <w:noProof/>
        </w:rPr>
        <w:t xml:space="preserve">The minimum clear opening width shall not apply to doors for </w:t>
      </w:r>
      <w:r w:rsidR="008F7B8C" w:rsidRPr="00B277A5">
        <w:rPr>
          <w:i/>
          <w:iCs/>
          <w:strike/>
          <w:noProof/>
        </w:rPr>
        <w:t>nonadaptable or nonaccessible</w:t>
      </w:r>
      <w:r w:rsidR="008F7B8C" w:rsidRPr="00B277A5">
        <w:rPr>
          <w:strike/>
          <w:noProof/>
        </w:rPr>
        <w:t xml:space="preserve"> shower or sauna compartments</w:t>
      </w:r>
      <w:r w:rsidR="008F7B8C" w:rsidRPr="00173941">
        <w:rPr>
          <w:i/>
          <w:iCs/>
          <w:strike/>
          <w:noProof/>
        </w:rPr>
        <w:t>, as specified in Chapter 11A</w:t>
      </w:r>
      <w:r w:rsidR="008F7B8C" w:rsidRPr="00173941">
        <w:rPr>
          <w:strike/>
          <w:noProof/>
        </w:rPr>
        <w:t>.</w:t>
      </w:r>
    </w:p>
    <w:p w14:paraId="36BC4FA1" w14:textId="71E27259" w:rsidR="0099673E" w:rsidRPr="00691FA6" w:rsidRDefault="00E04CDC" w:rsidP="004B7AD8">
      <w:pPr>
        <w:spacing w:before="120"/>
        <w:ind w:left="720" w:hanging="360"/>
        <w:rPr>
          <w:rFonts w:cs="Arial"/>
          <w:noProof/>
        </w:rPr>
      </w:pPr>
      <w:r w:rsidRPr="00793151">
        <w:rPr>
          <w:i/>
          <w:iCs/>
          <w:noProof/>
        </w:rPr>
        <w:t>10</w:t>
      </w:r>
      <w:r w:rsidRPr="00793151">
        <w:rPr>
          <w:noProof/>
        </w:rPr>
        <w:t>.</w:t>
      </w:r>
      <w:r>
        <w:rPr>
          <w:noProof/>
        </w:rPr>
        <w:t xml:space="preserve"> </w:t>
      </w:r>
      <w:r w:rsidR="008F7B8C" w:rsidRPr="00B4584E">
        <w:rPr>
          <w:noProof/>
        </w:rPr>
        <w:t xml:space="preserve">Doors serving </w:t>
      </w:r>
      <w:r w:rsidR="008F7B8C" w:rsidRPr="00691FA6">
        <w:rPr>
          <w:i/>
          <w:iCs/>
          <w:noProof/>
        </w:rPr>
        <w:t>nonadaptable or nonaccessible</w:t>
      </w:r>
      <w:r w:rsidR="008F7B8C" w:rsidRPr="00B4584E">
        <w:rPr>
          <w:noProof/>
        </w:rPr>
        <w:t xml:space="preserve"> single-user shower or sauna compartments, toilet stalls or dressing, fitting or changing rooms shall have a minimum clear opening width of 20 inches (508 mm</w:t>
      </w:r>
      <w:r w:rsidR="00EF7AE3" w:rsidRPr="00B4584E">
        <w:rPr>
          <w:noProof/>
        </w:rPr>
        <w:t>)</w:t>
      </w:r>
      <w:r w:rsidR="00B4584E" w:rsidRPr="00B4584E">
        <w:rPr>
          <w:noProof/>
        </w:rPr>
        <w:t>.</w:t>
      </w:r>
      <w:r w:rsidR="00BA27E7" w:rsidRPr="00BA27E7">
        <w:rPr>
          <w:rFonts w:cs="Arial"/>
          <w:szCs w:val="24"/>
        </w:rPr>
        <w:t xml:space="preserve"> </w:t>
      </w:r>
      <w:r w:rsidR="00BA27E7">
        <w:rPr>
          <w:rFonts w:cs="Arial"/>
          <w:szCs w:val="24"/>
        </w:rPr>
        <w:t>(</w:t>
      </w:r>
      <w:r w:rsidR="00BA27E7" w:rsidRPr="00892A56">
        <w:rPr>
          <w:rFonts w:cs="Arial"/>
          <w:szCs w:val="24"/>
        </w:rPr>
        <w:t>No change to existing California amendment.)</w:t>
      </w:r>
    </w:p>
    <w:p w14:paraId="7147A2D6" w14:textId="77777777" w:rsidR="0099673E" w:rsidRPr="00AD67B3" w:rsidRDefault="0099673E" w:rsidP="0099673E">
      <w:pPr>
        <w:spacing w:before="120"/>
        <w:rPr>
          <w:rFonts w:cs="Arial"/>
        </w:rPr>
      </w:pPr>
      <w:r w:rsidRPr="00AD67B3">
        <w:rPr>
          <w:rFonts w:cs="Arial"/>
          <w:b/>
        </w:rPr>
        <w:t>Notation:</w:t>
      </w:r>
    </w:p>
    <w:p w14:paraId="3D6BABD6" w14:textId="402E2940" w:rsidR="00DE73CE" w:rsidRPr="006526AF" w:rsidRDefault="0099673E" w:rsidP="00DE73CE">
      <w:pPr>
        <w:spacing w:before="120"/>
        <w:rPr>
          <w:rFonts w:cs="Arial"/>
        </w:rPr>
      </w:pPr>
      <w:r w:rsidRPr="006526AF">
        <w:rPr>
          <w:rFonts w:cs="Arial"/>
        </w:rPr>
        <w:t xml:space="preserve">Authority: </w:t>
      </w:r>
      <w:r w:rsidR="00DE73CE" w:rsidRPr="006526AF">
        <w:rPr>
          <w:szCs w:val="24"/>
        </w:rPr>
        <w:t>Health and Safety Code Sections 17040, 17920.9, 17921, 17922,</w:t>
      </w:r>
      <w:r w:rsidR="00DE73CE" w:rsidRPr="006526AF">
        <w:t xml:space="preserve"> </w:t>
      </w:r>
      <w:r w:rsidR="0037227D">
        <w:t xml:space="preserve">18300, </w:t>
      </w:r>
      <w:r w:rsidR="00DE73CE" w:rsidRPr="006526AF">
        <w:rPr>
          <w:szCs w:val="24"/>
        </w:rPr>
        <w:t xml:space="preserve">18620, </w:t>
      </w:r>
      <w:r w:rsidR="003A2F08">
        <w:rPr>
          <w:szCs w:val="24"/>
        </w:rPr>
        <w:t xml:space="preserve">18630, </w:t>
      </w:r>
      <w:r w:rsidR="00DE73CE" w:rsidRPr="006526AF">
        <w:rPr>
          <w:rFonts w:cs="Arial"/>
          <w:szCs w:val="24"/>
        </w:rPr>
        <w:t>18691,</w:t>
      </w:r>
      <w:r w:rsidR="00DE73CE" w:rsidRPr="006526AF">
        <w:rPr>
          <w:szCs w:val="24"/>
        </w:rPr>
        <w:t xml:space="preserve"> 18865, 18871.3, 18873, 18873.1</w:t>
      </w:r>
      <w:r w:rsidR="00DF4EAB">
        <w:rPr>
          <w:szCs w:val="24"/>
        </w:rPr>
        <w:t xml:space="preserve"> </w:t>
      </w:r>
      <w:r w:rsidR="00D044E0">
        <w:rPr>
          <w:szCs w:val="24"/>
        </w:rPr>
        <w:t>through</w:t>
      </w:r>
      <w:r w:rsidR="00DE73CE" w:rsidRPr="006526AF">
        <w:rPr>
          <w:szCs w:val="24"/>
        </w:rPr>
        <w:t xml:space="preserve"> 18873.5</w:t>
      </w:r>
      <w:r w:rsidR="00F37D20">
        <w:rPr>
          <w:szCs w:val="24"/>
        </w:rPr>
        <w:t xml:space="preserve"> </w:t>
      </w:r>
      <w:r w:rsidR="00F37D20">
        <w:t>and 19990</w:t>
      </w:r>
      <w:r w:rsidR="00DE73CE" w:rsidRPr="006526AF">
        <w:rPr>
          <w:szCs w:val="24"/>
        </w:rPr>
        <w:t>; and Government Code Sections 12955.1 and 12955.1.1.</w:t>
      </w:r>
    </w:p>
    <w:p w14:paraId="66AC125F" w14:textId="046AA265" w:rsidR="00DE73CE" w:rsidRPr="006526AF" w:rsidRDefault="00DE73CE" w:rsidP="00DE73CE">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w:t>
      </w:r>
      <w:r w:rsidR="00951ED7">
        <w:t xml:space="preserve">, </w:t>
      </w:r>
      <w:r>
        <w:t>19960 through 19997;</w:t>
      </w:r>
      <w:r w:rsidRPr="1763AD9F">
        <w:rPr>
          <w:rFonts w:cs="Arial"/>
        </w:rPr>
        <w:t xml:space="preserve"> 19960 through 19997; </w:t>
      </w:r>
      <w:r>
        <w:t>and Government Code Sections, 12955.1 and 12955.1.1.</w:t>
      </w:r>
    </w:p>
    <w:p w14:paraId="21DA8A1D" w14:textId="67995E95" w:rsidR="006C70C3" w:rsidRPr="00AD67B3" w:rsidRDefault="00251898" w:rsidP="00251898">
      <w:pPr>
        <w:pStyle w:val="Heading3"/>
        <w:rPr>
          <w:noProof/>
        </w:rPr>
      </w:pPr>
      <w:r w:rsidRPr="00AD67B3">
        <w:t xml:space="preserve">ITEM </w:t>
      </w:r>
      <w:r w:rsidR="009365AB">
        <w:t>3</w:t>
      </w:r>
      <w:r w:rsidR="006C70C3">
        <w:br/>
      </w:r>
      <w:r w:rsidR="006C70C3" w:rsidRPr="00AD67B3">
        <w:t xml:space="preserve">Chapter </w:t>
      </w:r>
      <w:r w:rsidR="006C70C3">
        <w:rPr>
          <w:noProof/>
        </w:rPr>
        <w:t>11A Housing Accessibility</w:t>
      </w:r>
      <w:r w:rsidR="006C70C3" w:rsidRPr="00AD67B3">
        <w:rPr>
          <w:noProof/>
        </w:rPr>
        <w:t xml:space="preserve">, </w:t>
      </w:r>
      <w:r w:rsidR="006C70C3" w:rsidRPr="00AD67B3">
        <w:t xml:space="preserve">Section </w:t>
      </w:r>
      <w:r w:rsidR="006C70C3" w:rsidRPr="000E5A9F">
        <w:rPr>
          <w:i/>
          <w:iCs/>
          <w:noProof/>
        </w:rPr>
        <w:t>11</w:t>
      </w:r>
      <w:r w:rsidR="006C70C3">
        <w:rPr>
          <w:i/>
          <w:iCs/>
          <w:noProof/>
        </w:rPr>
        <w:t>18</w:t>
      </w:r>
      <w:r w:rsidR="006C70C3" w:rsidRPr="000E5A9F">
        <w:rPr>
          <w:i/>
          <w:iCs/>
          <w:noProof/>
        </w:rPr>
        <w:t xml:space="preserve">A.1 </w:t>
      </w:r>
      <w:r w:rsidR="006C70C3">
        <w:rPr>
          <w:i/>
          <w:iCs/>
          <w:noProof/>
        </w:rPr>
        <w:t>General</w:t>
      </w:r>
    </w:p>
    <w:p w14:paraId="57F14A8F" w14:textId="77777777" w:rsidR="006C70C3" w:rsidRPr="001660DD" w:rsidRDefault="006C70C3" w:rsidP="006C70C3">
      <w:pPr>
        <w:spacing w:before="120"/>
        <w:rPr>
          <w:rFonts w:cs="Arial"/>
          <w:i/>
          <w:iCs/>
          <w:noProof/>
        </w:rPr>
      </w:pPr>
      <w:r w:rsidRPr="000A606F">
        <w:rPr>
          <w:b/>
          <w:i/>
        </w:rPr>
        <w:t>1118A.1 General</w:t>
      </w:r>
      <w:r>
        <w:rPr>
          <w:i/>
          <w:iCs/>
          <w:noProof/>
        </w:rPr>
        <w:t xml:space="preserve">. </w:t>
      </w:r>
      <w:r w:rsidRPr="00EF7AE3">
        <w:rPr>
          <w:i/>
          <w:iCs/>
          <w:noProof/>
        </w:rPr>
        <w:t xml:space="preserve">Including but not limited to the requirements contained in this chapter for accessible routes, signage and emergency warning systems in buildings or portions of buildings required to be accessible shall be provided with accessible means of egress as required by Chapter 10. </w:t>
      </w:r>
      <w:r w:rsidRPr="00EB3F26">
        <w:rPr>
          <w:i/>
          <w:iCs/>
          <w:strike/>
          <w:noProof/>
        </w:rPr>
        <w:t>(</w:t>
      </w:r>
      <w:r w:rsidRPr="00C24419">
        <w:rPr>
          <w:i/>
          <w:iCs/>
          <w:strike/>
          <w:noProof/>
        </w:rPr>
        <w:t>See Section 1007</w:t>
      </w:r>
      <w:r w:rsidRPr="00EB3F26">
        <w:rPr>
          <w:i/>
          <w:iCs/>
          <w:strike/>
          <w:noProof/>
        </w:rPr>
        <w:t>.)</w:t>
      </w:r>
      <w:r>
        <w:rPr>
          <w:i/>
          <w:iCs/>
          <w:noProof/>
        </w:rPr>
        <w:t xml:space="preserve"> </w:t>
      </w:r>
    </w:p>
    <w:p w14:paraId="5EC6297D" w14:textId="77777777" w:rsidR="006C70C3" w:rsidRPr="00AD67B3" w:rsidRDefault="006C70C3" w:rsidP="006C70C3">
      <w:pPr>
        <w:spacing w:before="120"/>
        <w:rPr>
          <w:rFonts w:cs="Arial"/>
        </w:rPr>
      </w:pPr>
      <w:r w:rsidRPr="00AD67B3">
        <w:rPr>
          <w:rFonts w:cs="Arial"/>
          <w:b/>
        </w:rPr>
        <w:t>Notation:</w:t>
      </w:r>
    </w:p>
    <w:p w14:paraId="73327C92" w14:textId="236A4B75" w:rsidR="006C70C3" w:rsidRPr="0048373D" w:rsidRDefault="006C70C3" w:rsidP="006C70C3">
      <w:pPr>
        <w:spacing w:before="120"/>
        <w:rPr>
          <w:rFonts w:cs="Arial"/>
        </w:rPr>
      </w:pPr>
      <w:r w:rsidRPr="00AD67B3">
        <w:rPr>
          <w:rFonts w:cs="Arial"/>
        </w:rPr>
        <w:t>Authority</w:t>
      </w:r>
      <w:r w:rsidRPr="0048373D">
        <w:rPr>
          <w:rFonts w:cs="Arial"/>
        </w:rPr>
        <w:t xml:space="preserve">: </w:t>
      </w:r>
      <w:r w:rsidRPr="0048373D">
        <w:rPr>
          <w:szCs w:val="24"/>
        </w:rPr>
        <w:t xml:space="preserve">Health and Safety Code Sections 17040, 17920.9, 17921, 17922, </w:t>
      </w:r>
      <w:r w:rsidR="003C0B6A">
        <w:rPr>
          <w:szCs w:val="24"/>
        </w:rPr>
        <w:t xml:space="preserve">18300, </w:t>
      </w:r>
      <w:r w:rsidRPr="0048373D">
        <w:rPr>
          <w:szCs w:val="24"/>
        </w:rPr>
        <w:t>18620, 18630, 18640, 18670, 18865, 18871.3, 18873,</w:t>
      </w:r>
      <w:r w:rsidR="00DF505F">
        <w:rPr>
          <w:szCs w:val="24"/>
        </w:rPr>
        <w:t xml:space="preserve"> </w:t>
      </w:r>
      <w:r w:rsidRPr="0048373D">
        <w:rPr>
          <w:szCs w:val="24"/>
        </w:rPr>
        <w:t>18873.1 through 18873.5</w:t>
      </w:r>
      <w:r w:rsidR="00BA5648">
        <w:rPr>
          <w:szCs w:val="24"/>
        </w:rPr>
        <w:t xml:space="preserve"> </w:t>
      </w:r>
      <w:r w:rsidR="00BA5648">
        <w:t xml:space="preserve">and </w:t>
      </w:r>
      <w:r w:rsidR="00BA5648">
        <w:lastRenderedPageBreak/>
        <w:t>19990</w:t>
      </w:r>
      <w:r w:rsidRPr="0048373D">
        <w:rPr>
          <w:szCs w:val="24"/>
        </w:rPr>
        <w:t>; and Government Code Sections 12955.1 and 12955.1.1</w:t>
      </w:r>
      <w:r>
        <w:rPr>
          <w:szCs w:val="24"/>
        </w:rPr>
        <w:t>.</w:t>
      </w:r>
    </w:p>
    <w:p w14:paraId="72E1D6E9" w14:textId="5AA51A6E" w:rsidR="006C70C3" w:rsidRDefault="006C70C3" w:rsidP="006C70C3">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49A09972" w14:textId="5E99F91C" w:rsidR="00580018" w:rsidRPr="00AD67B3" w:rsidRDefault="00580018" w:rsidP="00580018">
      <w:pPr>
        <w:pStyle w:val="Heading3"/>
        <w:rPr>
          <w:noProof/>
        </w:rPr>
      </w:pPr>
      <w:r w:rsidRPr="00AD67B3">
        <w:t xml:space="preserve">ITEM </w:t>
      </w:r>
      <w:r w:rsidR="001E06E5">
        <w:t>4</w:t>
      </w:r>
      <w:r>
        <w:br/>
      </w:r>
      <w:r w:rsidRPr="00AD67B3">
        <w:t xml:space="preserve">Chapter </w:t>
      </w:r>
      <w:r>
        <w:rPr>
          <w:noProof/>
        </w:rPr>
        <w:t>11A Housing Accessibility</w:t>
      </w:r>
      <w:r w:rsidRPr="00AD67B3">
        <w:rPr>
          <w:noProof/>
        </w:rPr>
        <w:t xml:space="preserve">, </w:t>
      </w:r>
      <w:r w:rsidRPr="00AD67B3">
        <w:t xml:space="preserve">Section </w:t>
      </w:r>
      <w:r w:rsidRPr="000E5A9F">
        <w:rPr>
          <w:i/>
          <w:iCs/>
          <w:noProof/>
        </w:rPr>
        <w:t>1136A.1 Receptacle heights</w:t>
      </w:r>
    </w:p>
    <w:p w14:paraId="312B9184" w14:textId="4A84CEEE" w:rsidR="00580018" w:rsidRDefault="00580018" w:rsidP="76FCE0AB">
      <w:pPr>
        <w:spacing w:before="120"/>
        <w:rPr>
          <w:i/>
          <w:iCs/>
          <w:noProof/>
        </w:rPr>
      </w:pPr>
      <w:r w:rsidRPr="76FCE0AB">
        <w:rPr>
          <w:b/>
          <w:bCs/>
          <w:i/>
          <w:iCs/>
          <w:noProof/>
        </w:rPr>
        <w:t xml:space="preserve">1136A.1 Receptacle heights. </w:t>
      </w:r>
      <w:r w:rsidRPr="76FCE0AB">
        <w:rPr>
          <w:i/>
          <w:iCs/>
          <w:noProof/>
        </w:rPr>
        <w:t>Electrical receptacle outlets on branch circuits of 30</w:t>
      </w:r>
      <w:r w:rsidR="004B78E4">
        <w:rPr>
          <w:i/>
          <w:iCs/>
          <w:noProof/>
        </w:rPr>
        <w:t xml:space="preserve"> </w:t>
      </w:r>
      <w:r w:rsidRPr="76FCE0AB">
        <w:rPr>
          <w:i/>
          <w:iCs/>
          <w:noProof/>
        </w:rPr>
        <w:t>amperes or less and communication system receptacles shall be located no more than 48 inches (1219 mm) measured from the top of the receptacle outlet box nor less than 15 inches (381 mm) measured from the bottom of the receptacle outlet box to the level of the finished floor or working platform. If the reach is over a physical barrier or an obstruction (for example, a kitchen base cabinet), receptacles shall be located within the reach ranges specified in Section 1138A.3. Physical barriers and obstructions shall not extend more than 25 inches (635 mm) from the wall beneath the receptacle.</w:t>
      </w:r>
      <w:r w:rsidR="00E95FF7">
        <w:rPr>
          <w:i/>
          <w:iCs/>
          <w:noProof/>
        </w:rPr>
        <w:t xml:space="preserve"> </w:t>
      </w:r>
      <w:r w:rsidRPr="003540C2">
        <w:rPr>
          <w:i/>
          <w:iCs/>
          <w:strike/>
          <w:noProof/>
        </w:rPr>
        <w:t>Countertops shall be allowed to extend 25 1/2 inches (647.7 mm) from the wall beneath the receptacle</w:t>
      </w:r>
      <w:r w:rsidRPr="76FCE0AB">
        <w:rPr>
          <w:i/>
          <w:iCs/>
          <w:noProof/>
        </w:rPr>
        <w:t xml:space="preserve">. </w:t>
      </w:r>
    </w:p>
    <w:p w14:paraId="4DBA89C3" w14:textId="4B5D41C3" w:rsidR="004B517E" w:rsidRPr="001C2064" w:rsidRDefault="00F64F25" w:rsidP="76FCE0AB">
      <w:pPr>
        <w:spacing w:before="120"/>
        <w:rPr>
          <w:i/>
          <w:iCs/>
          <w:u w:val="single"/>
        </w:rPr>
      </w:pPr>
      <w:r>
        <w:rPr>
          <w:i/>
          <w:iCs/>
          <w:u w:val="single"/>
        </w:rPr>
        <w:t>Cabinets</w:t>
      </w:r>
      <w:r w:rsidRPr="00122CF3">
        <w:rPr>
          <w:i/>
          <w:iCs/>
          <w:u w:val="single"/>
        </w:rPr>
        <w:t xml:space="preserve"> </w:t>
      </w:r>
      <w:r w:rsidR="004B517E" w:rsidRPr="00122CF3">
        <w:rPr>
          <w:i/>
          <w:iCs/>
          <w:u w:val="single"/>
        </w:rPr>
        <w:t xml:space="preserve">shall be allowed to extend 24 inches from the wall beneath </w:t>
      </w:r>
      <w:r w:rsidR="004B517E" w:rsidRPr="00122CF3">
        <w:rPr>
          <w:rFonts w:cs="Arial"/>
          <w:i/>
          <w:iCs/>
          <w:u w:val="single"/>
        </w:rPr>
        <w:t xml:space="preserve">a control or switch with an additional </w:t>
      </w:r>
      <w:r w:rsidR="00C502CF">
        <w:rPr>
          <w:rFonts w:cs="Arial"/>
          <w:i/>
          <w:iCs/>
          <w:u w:val="single"/>
        </w:rPr>
        <w:t xml:space="preserve">countertop </w:t>
      </w:r>
      <w:r w:rsidR="004B517E" w:rsidRPr="00122CF3">
        <w:rPr>
          <w:rFonts w:cs="Arial"/>
          <w:i/>
          <w:iCs/>
          <w:u w:val="single"/>
        </w:rPr>
        <w:t>extension of 1-1/2 inches for a maximum dimension of 25-1/2 inches</w:t>
      </w:r>
      <w:r w:rsidR="00C451E5">
        <w:rPr>
          <w:rFonts w:cs="Arial"/>
          <w:i/>
          <w:iCs/>
          <w:u w:val="single"/>
        </w:rPr>
        <w:t xml:space="preserve"> </w:t>
      </w:r>
      <w:r w:rsidR="00C451E5" w:rsidRPr="00C451E5">
        <w:rPr>
          <w:rFonts w:cs="Arial"/>
          <w:i/>
          <w:iCs/>
          <w:u w:val="single"/>
        </w:rPr>
        <w:t>(647.7 mm)</w:t>
      </w:r>
      <w:r w:rsidR="004B517E" w:rsidRPr="00122CF3">
        <w:rPr>
          <w:rFonts w:cs="Arial"/>
          <w:i/>
          <w:iCs/>
          <w:u w:val="single"/>
        </w:rPr>
        <w:t xml:space="preserve"> to allow for the use of industry standard and commercially produced cabinets and countertops.</w:t>
      </w:r>
    </w:p>
    <w:p w14:paraId="6F7A4C64" w14:textId="77777777" w:rsidR="00580018" w:rsidRPr="001660DD" w:rsidRDefault="00580018" w:rsidP="00580018">
      <w:pPr>
        <w:spacing w:before="120"/>
        <w:rPr>
          <w:noProof/>
        </w:rPr>
      </w:pPr>
      <w:r w:rsidRPr="11B15DBD">
        <w:rPr>
          <w:i/>
          <w:iCs/>
          <w:noProof/>
        </w:rPr>
        <w:t xml:space="preserve">Receptacle outlets that do not satisfy these specifications are acceptable provided that comparable receptacle outlets, that perform the same functions, are provided within the same area and are accessible. </w:t>
      </w:r>
      <w:r w:rsidRPr="11B15DBD">
        <w:rPr>
          <w:noProof/>
        </w:rPr>
        <w:t>(No change to existing text in this paragraph.)</w:t>
      </w:r>
    </w:p>
    <w:p w14:paraId="41D1978E" w14:textId="77777777" w:rsidR="00580018" w:rsidRPr="001660DD" w:rsidRDefault="00580018" w:rsidP="00580018">
      <w:pPr>
        <w:spacing w:before="120"/>
        <w:rPr>
          <w:i/>
          <w:iCs/>
          <w:noProof/>
        </w:rPr>
      </w:pPr>
      <w:r w:rsidRPr="11B15DBD">
        <w:rPr>
          <w:b/>
          <w:bCs/>
          <w:i/>
          <w:iCs/>
          <w:noProof/>
        </w:rPr>
        <w:t>Exceptions</w:t>
      </w:r>
      <w:r w:rsidRPr="11B15DBD">
        <w:rPr>
          <w:i/>
          <w:iCs/>
          <w:noProof/>
        </w:rPr>
        <w:t xml:space="preserve">: </w:t>
      </w:r>
      <w:r w:rsidRPr="11B15DBD">
        <w:rPr>
          <w:noProof/>
        </w:rPr>
        <w:t>(No change to existing exceptions.)</w:t>
      </w:r>
    </w:p>
    <w:p w14:paraId="20B00CE9" w14:textId="77777777" w:rsidR="00580018" w:rsidRPr="001660DD" w:rsidRDefault="00580018" w:rsidP="00580018">
      <w:pPr>
        <w:pStyle w:val="ListParagraph"/>
        <w:numPr>
          <w:ilvl w:val="0"/>
          <w:numId w:val="21"/>
        </w:numPr>
        <w:spacing w:before="120"/>
        <w:rPr>
          <w:i/>
          <w:iCs/>
          <w:noProof/>
        </w:rPr>
      </w:pPr>
      <w:r w:rsidRPr="001660DD">
        <w:rPr>
          <w:i/>
          <w:iCs/>
          <w:noProof/>
        </w:rPr>
        <w:t>Receptacle outlets installed as part of permanently installed baseboard heaters are exempt.</w:t>
      </w:r>
    </w:p>
    <w:p w14:paraId="1CEC16D2" w14:textId="77777777" w:rsidR="00580018" w:rsidRPr="001660DD" w:rsidRDefault="00580018" w:rsidP="00580018">
      <w:pPr>
        <w:pStyle w:val="ListParagraph"/>
        <w:numPr>
          <w:ilvl w:val="0"/>
          <w:numId w:val="21"/>
        </w:numPr>
        <w:spacing w:before="120"/>
        <w:rPr>
          <w:i/>
          <w:iCs/>
          <w:noProof/>
        </w:rPr>
      </w:pPr>
      <w:r w:rsidRPr="001660DD">
        <w:rPr>
          <w:i/>
          <w:iCs/>
          <w:noProof/>
        </w:rPr>
        <w:t>Required receptacle outlets shall be permitted in floors when adjacent to sliding panels or walls.</w:t>
      </w:r>
    </w:p>
    <w:p w14:paraId="28343767" w14:textId="77777777" w:rsidR="00580018" w:rsidRPr="001660DD" w:rsidRDefault="00580018" w:rsidP="00580018">
      <w:pPr>
        <w:pStyle w:val="ListParagraph"/>
        <w:numPr>
          <w:ilvl w:val="0"/>
          <w:numId w:val="21"/>
        </w:numPr>
        <w:spacing w:before="120"/>
        <w:rPr>
          <w:i/>
          <w:iCs/>
          <w:noProof/>
        </w:rPr>
      </w:pPr>
      <w:r w:rsidRPr="001660DD">
        <w:rPr>
          <w:i/>
          <w:iCs/>
          <w:noProof/>
        </w:rPr>
        <w:t>Baseboard electrical outlets used in relocatable partitions, window walls or other electrical convenience floor outlets are not subject to the minimum height requirements.</w:t>
      </w:r>
    </w:p>
    <w:p w14:paraId="763E3E56" w14:textId="77777777" w:rsidR="00580018" w:rsidRPr="001660DD" w:rsidRDefault="00580018" w:rsidP="00580018">
      <w:pPr>
        <w:pStyle w:val="ListParagraph"/>
        <w:numPr>
          <w:ilvl w:val="0"/>
          <w:numId w:val="21"/>
        </w:numPr>
        <w:spacing w:before="120"/>
        <w:rPr>
          <w:rFonts w:cs="Arial"/>
          <w:i/>
          <w:iCs/>
          <w:noProof/>
        </w:rPr>
      </w:pPr>
      <w:r w:rsidRPr="001660DD">
        <w:rPr>
          <w:i/>
          <w:iCs/>
          <w:noProof/>
        </w:rPr>
        <w:t>This section shall not apply to existing buildings when the enforcing agency determines that compliance with these standards would create an unreasonable hardship.</w:t>
      </w:r>
      <w:r w:rsidRPr="001660DD">
        <w:rPr>
          <w:rFonts w:cs="Arial"/>
          <w:i/>
          <w:iCs/>
          <w:noProof/>
        </w:rPr>
        <w:t xml:space="preserve"> </w:t>
      </w:r>
    </w:p>
    <w:p w14:paraId="4CEA53DD" w14:textId="77777777" w:rsidR="00580018" w:rsidRPr="00AD67B3" w:rsidRDefault="00580018" w:rsidP="00580018">
      <w:pPr>
        <w:spacing w:before="120"/>
        <w:rPr>
          <w:rFonts w:cs="Arial"/>
        </w:rPr>
      </w:pPr>
      <w:r w:rsidRPr="00AD67B3">
        <w:rPr>
          <w:rFonts w:cs="Arial"/>
          <w:b/>
        </w:rPr>
        <w:t>Notation:</w:t>
      </w:r>
    </w:p>
    <w:p w14:paraId="54A03168" w14:textId="672C6595" w:rsidR="00580018" w:rsidRPr="0048373D" w:rsidRDefault="00580018" w:rsidP="00580018">
      <w:pPr>
        <w:spacing w:before="120"/>
        <w:rPr>
          <w:rFonts w:cs="Arial"/>
        </w:rPr>
      </w:pPr>
      <w:r w:rsidRPr="00AD67B3">
        <w:rPr>
          <w:rFonts w:cs="Arial"/>
        </w:rPr>
        <w:t>Authority</w:t>
      </w:r>
      <w:r w:rsidRPr="0048373D">
        <w:rPr>
          <w:rFonts w:cs="Arial"/>
        </w:rPr>
        <w:t xml:space="preserve">: </w:t>
      </w:r>
      <w:r w:rsidRPr="0048373D">
        <w:rPr>
          <w:szCs w:val="24"/>
        </w:rPr>
        <w:t xml:space="preserve">Health and Safety Code Sections 17040, 17920.9, 17921, 17922, </w:t>
      </w:r>
      <w:r w:rsidR="00AD4557">
        <w:rPr>
          <w:szCs w:val="24"/>
        </w:rPr>
        <w:t xml:space="preserve">18300, </w:t>
      </w:r>
      <w:r w:rsidRPr="0048373D">
        <w:rPr>
          <w:szCs w:val="24"/>
        </w:rPr>
        <w:t>18620, 18630, 18640, 18670, 18865, 18871.3, 18873,</w:t>
      </w:r>
      <w:r w:rsidR="005128C8">
        <w:rPr>
          <w:szCs w:val="24"/>
        </w:rPr>
        <w:t xml:space="preserve"> </w:t>
      </w:r>
      <w:r w:rsidRPr="0048373D">
        <w:rPr>
          <w:szCs w:val="24"/>
        </w:rPr>
        <w:t>18873.</w:t>
      </w:r>
      <w:r w:rsidR="00985387">
        <w:rPr>
          <w:szCs w:val="24"/>
        </w:rPr>
        <w:t>1</w:t>
      </w:r>
      <w:r w:rsidRPr="0048373D">
        <w:rPr>
          <w:szCs w:val="24"/>
        </w:rPr>
        <w:t xml:space="preserve"> through 18873.5</w:t>
      </w:r>
      <w:r w:rsidR="00BA5648">
        <w:rPr>
          <w:szCs w:val="24"/>
        </w:rPr>
        <w:t xml:space="preserve"> </w:t>
      </w:r>
      <w:r w:rsidR="00BA5648">
        <w:t>and 19990</w:t>
      </w:r>
      <w:r w:rsidRPr="0048373D">
        <w:rPr>
          <w:szCs w:val="24"/>
        </w:rPr>
        <w:t>; and Government Code Sections 12955.1 and 12</w:t>
      </w:r>
      <w:r w:rsidR="00B75111" w:rsidRPr="0048373D">
        <w:rPr>
          <w:szCs w:val="24"/>
        </w:rPr>
        <w:t>9</w:t>
      </w:r>
      <w:r w:rsidRPr="0048373D">
        <w:rPr>
          <w:szCs w:val="24"/>
        </w:rPr>
        <w:t>55.1.1</w:t>
      </w:r>
      <w:r w:rsidR="000340B6">
        <w:rPr>
          <w:szCs w:val="24"/>
        </w:rPr>
        <w:t>.</w:t>
      </w:r>
    </w:p>
    <w:p w14:paraId="209440BE" w14:textId="72BD116B" w:rsidR="00580018" w:rsidRDefault="00580018" w:rsidP="00B472B5">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33FBE79A" w14:textId="33051EA9" w:rsidR="00BA79DB" w:rsidRPr="00AD67B3" w:rsidRDefault="00BA79DB" w:rsidP="00BA79DB">
      <w:pPr>
        <w:pStyle w:val="Heading3"/>
        <w:rPr>
          <w:noProof/>
        </w:rPr>
      </w:pPr>
      <w:r w:rsidRPr="00AD67B3">
        <w:lastRenderedPageBreak/>
        <w:t xml:space="preserve">ITEM </w:t>
      </w:r>
      <w:r w:rsidR="001E06E5">
        <w:t>5</w:t>
      </w:r>
      <w:r>
        <w:br/>
      </w:r>
      <w:r w:rsidRPr="00AD67B3">
        <w:t xml:space="preserve">Chapter </w:t>
      </w:r>
      <w:r>
        <w:rPr>
          <w:noProof/>
        </w:rPr>
        <w:t>11A Housing Accessibility</w:t>
      </w:r>
      <w:r w:rsidRPr="00AD67B3">
        <w:rPr>
          <w:noProof/>
        </w:rPr>
        <w:t xml:space="preserve">, </w:t>
      </w:r>
      <w:r w:rsidRPr="00AD67B3">
        <w:t xml:space="preserve">Section </w:t>
      </w:r>
      <w:r w:rsidRPr="000E5A9F">
        <w:rPr>
          <w:i/>
          <w:iCs/>
          <w:noProof/>
        </w:rPr>
        <w:t>1136A.</w:t>
      </w:r>
      <w:r w:rsidR="006A5550">
        <w:rPr>
          <w:i/>
          <w:iCs/>
          <w:noProof/>
        </w:rPr>
        <w:t>2</w:t>
      </w:r>
      <w:r w:rsidRPr="000E5A9F">
        <w:rPr>
          <w:i/>
          <w:iCs/>
          <w:noProof/>
        </w:rPr>
        <w:t xml:space="preserve"> </w:t>
      </w:r>
      <w:r w:rsidR="000667AD" w:rsidRPr="000667AD">
        <w:rPr>
          <w:i/>
          <w:iCs/>
          <w:noProof/>
        </w:rPr>
        <w:t>Switch and control heights</w:t>
      </w:r>
    </w:p>
    <w:p w14:paraId="72D3AF46" w14:textId="00B2D7CF" w:rsidR="00CA377E" w:rsidRPr="00AC5CB3" w:rsidRDefault="00422471" w:rsidP="1C2D1286">
      <w:pPr>
        <w:spacing w:before="120"/>
        <w:rPr>
          <w:i/>
          <w:iCs/>
          <w:strike/>
          <w:noProof/>
        </w:rPr>
      </w:pPr>
      <w:r w:rsidRPr="1C2D1286">
        <w:rPr>
          <w:b/>
          <w:bCs/>
          <w:i/>
          <w:iCs/>
          <w:noProof/>
        </w:rPr>
        <w:t>1136A.2 Switch and control heights</w:t>
      </w:r>
      <w:r w:rsidR="00E95FF7">
        <w:rPr>
          <w:b/>
          <w:bCs/>
          <w:i/>
          <w:iCs/>
          <w:noProof/>
        </w:rPr>
        <w:t>.</w:t>
      </w:r>
      <w:r w:rsidRPr="1C2D1286">
        <w:rPr>
          <w:rFonts w:cs="Arial"/>
          <w:i/>
          <w:iCs/>
        </w:rPr>
        <w:t xml:space="preserve"> </w:t>
      </w:r>
      <w:r w:rsidR="00CA377E" w:rsidRPr="1C2D1286">
        <w:rPr>
          <w:rFonts w:cs="Arial"/>
          <w:i/>
          <w:iCs/>
        </w:rPr>
        <w:t xml:space="preserve">Controls or switches intended to be used by the occupant of the room or area to control lighting and receptacle outlets, appliances, alarms or cooling, heating and ventilating equipment shall be located no more than 48 inches (1219 mm) measured from the top of the outlet box nor less than 15 inches (381 mm) measured from the bottom of the outlet box to the level of the finished floor or working platform. If the reach is over a physical barrier or an obstruction (for example, a kitchen base cabinet) switches and controls shall be located within the reach ranges specified in Section 1138A.3. Physical barriers or obstructions shall not extend more than 25 inches (635 mm) from the wall beneath a control or switch. </w:t>
      </w:r>
      <w:r w:rsidR="00CA377E" w:rsidRPr="00AC5CB3">
        <w:rPr>
          <w:rFonts w:cs="Arial"/>
          <w:i/>
          <w:iCs/>
          <w:strike/>
        </w:rPr>
        <w:t>Countertops shall be allowed to extend 25</w:t>
      </w:r>
      <w:r w:rsidR="0090085B" w:rsidRPr="00AC5CB3">
        <w:rPr>
          <w:rFonts w:cs="Arial"/>
          <w:i/>
          <w:iCs/>
          <w:strike/>
        </w:rPr>
        <w:t xml:space="preserve"> </w:t>
      </w:r>
      <w:r w:rsidR="00CA377E" w:rsidRPr="00AC5CB3">
        <w:rPr>
          <w:rFonts w:cs="Arial"/>
          <w:i/>
          <w:iCs/>
          <w:strike/>
        </w:rPr>
        <w:t>1/2 inches (647.7 mm) from the wall beneath a control or switch.</w:t>
      </w:r>
      <w:r w:rsidR="00061532" w:rsidRPr="00AC5CB3">
        <w:rPr>
          <w:i/>
          <w:iCs/>
          <w:strike/>
          <w:noProof/>
        </w:rPr>
        <w:t xml:space="preserve"> </w:t>
      </w:r>
    </w:p>
    <w:p w14:paraId="33C5045F" w14:textId="67AAF91A" w:rsidR="00947EFE" w:rsidRPr="00AC5CB3" w:rsidRDefault="004C35E0" w:rsidP="1C2D1286">
      <w:pPr>
        <w:spacing w:before="120"/>
        <w:rPr>
          <w:rFonts w:cs="Arial"/>
          <w:i/>
          <w:iCs/>
          <w:u w:val="single"/>
        </w:rPr>
      </w:pPr>
      <w:r w:rsidRPr="00AC5CB3">
        <w:rPr>
          <w:i/>
          <w:iCs/>
          <w:u w:val="single"/>
        </w:rPr>
        <w:t>C</w:t>
      </w:r>
      <w:r>
        <w:rPr>
          <w:i/>
          <w:iCs/>
          <w:u w:val="single"/>
        </w:rPr>
        <w:t>abinets</w:t>
      </w:r>
      <w:r w:rsidRPr="00AC5CB3">
        <w:rPr>
          <w:i/>
          <w:iCs/>
          <w:u w:val="single"/>
        </w:rPr>
        <w:t xml:space="preserve"> </w:t>
      </w:r>
      <w:r w:rsidR="00947EFE" w:rsidRPr="00AC5CB3">
        <w:rPr>
          <w:i/>
          <w:iCs/>
          <w:u w:val="single"/>
        </w:rPr>
        <w:t xml:space="preserve">shall be allowed to extend 24 inches from the wall beneath </w:t>
      </w:r>
      <w:r w:rsidR="00947EFE" w:rsidRPr="00AC5CB3">
        <w:rPr>
          <w:rFonts w:cs="Arial"/>
          <w:i/>
          <w:iCs/>
          <w:u w:val="single"/>
        </w:rPr>
        <w:t xml:space="preserve">a control or switch with an additional </w:t>
      </w:r>
      <w:r>
        <w:rPr>
          <w:rFonts w:cs="Arial"/>
          <w:i/>
          <w:iCs/>
          <w:u w:val="single"/>
        </w:rPr>
        <w:t xml:space="preserve">countertop </w:t>
      </w:r>
      <w:r w:rsidR="00947EFE" w:rsidRPr="00AC5CB3">
        <w:rPr>
          <w:rFonts w:cs="Arial"/>
          <w:i/>
          <w:iCs/>
          <w:u w:val="single"/>
        </w:rPr>
        <w:t xml:space="preserve">extension of 1-1/2 inches for a maximum dimension of 25-1/2 inches </w:t>
      </w:r>
      <w:r w:rsidR="002606E8" w:rsidRPr="00C451E5">
        <w:rPr>
          <w:rFonts w:cs="Arial"/>
          <w:i/>
          <w:iCs/>
          <w:u w:val="single"/>
        </w:rPr>
        <w:t>(647.7 mm)</w:t>
      </w:r>
      <w:r w:rsidR="002606E8" w:rsidRPr="00122CF3">
        <w:rPr>
          <w:rFonts w:cs="Arial"/>
          <w:i/>
          <w:iCs/>
          <w:u w:val="single"/>
        </w:rPr>
        <w:t xml:space="preserve"> </w:t>
      </w:r>
      <w:r w:rsidR="00947EFE" w:rsidRPr="00AC5CB3">
        <w:rPr>
          <w:rFonts w:cs="Arial"/>
          <w:i/>
          <w:iCs/>
          <w:u w:val="single"/>
        </w:rPr>
        <w:t>to allow for the use of industry standard and commercially produced cabinets and countertops.</w:t>
      </w:r>
    </w:p>
    <w:p w14:paraId="3DF80E3C" w14:textId="1107EA07" w:rsidR="00CA377E" w:rsidRPr="00CA377E" w:rsidRDefault="00CA377E" w:rsidP="11B15DBD">
      <w:pPr>
        <w:spacing w:before="120"/>
      </w:pPr>
      <w:r w:rsidRPr="11B15DBD">
        <w:rPr>
          <w:rFonts w:cs="Arial"/>
          <w:i/>
          <w:iCs/>
        </w:rPr>
        <w:t xml:space="preserve">Switches and controls that do not satisfy these specifications are acceptable provided that comparable controls or outlets, that perform the same functions, are provided within the same area and are accessible. </w:t>
      </w:r>
      <w:r w:rsidR="00E172D4" w:rsidRPr="11B15DBD">
        <w:rPr>
          <w:noProof/>
        </w:rPr>
        <w:t>(No change to existing text in this paragraph.)</w:t>
      </w:r>
    </w:p>
    <w:p w14:paraId="46FEB1E8" w14:textId="6ED4F683" w:rsidR="00BA79DB" w:rsidRDefault="00CA377E" w:rsidP="11B15DBD">
      <w:pPr>
        <w:spacing w:before="120"/>
        <w:rPr>
          <w:i/>
        </w:rPr>
      </w:pPr>
      <w:r w:rsidRPr="11B15DBD">
        <w:rPr>
          <w:rFonts w:cs="Arial"/>
          <w:b/>
          <w:bCs/>
          <w:i/>
          <w:iCs/>
        </w:rPr>
        <w:t>Exception</w:t>
      </w:r>
      <w:r w:rsidRPr="11B15DBD">
        <w:rPr>
          <w:rFonts w:cs="Arial"/>
          <w:i/>
          <w:iCs/>
        </w:rPr>
        <w:t>: Appliances (e.g., kitchen stoves, dishwashers, range hoods, microwave ovens and similar appliances) which have controls located on the appliance</w:t>
      </w:r>
      <w:r w:rsidRPr="11B15DBD">
        <w:rPr>
          <w:rFonts w:cs="Arial"/>
        </w:rPr>
        <w:t xml:space="preserve">. </w:t>
      </w:r>
      <w:r w:rsidR="00E172D4" w:rsidRPr="11B15DBD">
        <w:rPr>
          <w:noProof/>
        </w:rPr>
        <w:t>(No change to existing exception.)</w:t>
      </w:r>
    </w:p>
    <w:p w14:paraId="4C7C08F8" w14:textId="77777777" w:rsidR="00754F56" w:rsidRPr="00AD67B3" w:rsidRDefault="00754F56" w:rsidP="00754F56">
      <w:pPr>
        <w:spacing w:before="120"/>
        <w:rPr>
          <w:rFonts w:cs="Arial"/>
        </w:rPr>
      </w:pPr>
      <w:r w:rsidRPr="00AD67B3">
        <w:rPr>
          <w:rFonts w:cs="Arial"/>
          <w:b/>
        </w:rPr>
        <w:t>Notation:</w:t>
      </w:r>
    </w:p>
    <w:p w14:paraId="4D70FD04" w14:textId="78CFF7B3" w:rsidR="00754F56" w:rsidRPr="0048373D" w:rsidRDefault="00754F56" w:rsidP="00754F56">
      <w:pPr>
        <w:spacing w:before="120"/>
        <w:rPr>
          <w:rFonts w:cs="Arial"/>
        </w:rPr>
      </w:pPr>
      <w:r w:rsidRPr="00AD67B3">
        <w:rPr>
          <w:rFonts w:cs="Arial"/>
        </w:rPr>
        <w:t>Authority</w:t>
      </w:r>
      <w:r w:rsidRPr="0048373D">
        <w:rPr>
          <w:rFonts w:cs="Arial"/>
        </w:rPr>
        <w:t xml:space="preserve">: </w:t>
      </w:r>
      <w:r w:rsidRPr="0048373D">
        <w:rPr>
          <w:szCs w:val="24"/>
        </w:rPr>
        <w:t xml:space="preserve">Health and Safety Code Sections 17040, 17920.9, 17921, 17922, </w:t>
      </w:r>
      <w:r w:rsidR="006565DD">
        <w:rPr>
          <w:szCs w:val="24"/>
        </w:rPr>
        <w:t>18300</w:t>
      </w:r>
      <w:r w:rsidR="008B254E">
        <w:rPr>
          <w:szCs w:val="24"/>
        </w:rPr>
        <w:t xml:space="preserve">, </w:t>
      </w:r>
      <w:r w:rsidRPr="0048373D">
        <w:rPr>
          <w:szCs w:val="24"/>
        </w:rPr>
        <w:t>18620, 18630, 18640, 18670, 18865, 18871.3, 18873, 18873.1 through 18873.5</w:t>
      </w:r>
      <w:r w:rsidR="00BA5648">
        <w:rPr>
          <w:szCs w:val="24"/>
        </w:rPr>
        <w:t xml:space="preserve"> </w:t>
      </w:r>
      <w:r w:rsidR="00BA5648">
        <w:t>and 19990</w:t>
      </w:r>
      <w:r w:rsidRPr="0048373D">
        <w:rPr>
          <w:szCs w:val="24"/>
        </w:rPr>
        <w:t>; and Government Code Sections 12955.1 and 12</w:t>
      </w:r>
      <w:r w:rsidR="00B75111" w:rsidRPr="0048373D">
        <w:rPr>
          <w:szCs w:val="24"/>
        </w:rPr>
        <w:t>9</w:t>
      </w:r>
      <w:r w:rsidRPr="0048373D">
        <w:rPr>
          <w:szCs w:val="24"/>
        </w:rPr>
        <w:t>55.1.1</w:t>
      </w:r>
      <w:r w:rsidR="000D7112">
        <w:rPr>
          <w:szCs w:val="24"/>
        </w:rPr>
        <w:t>.</w:t>
      </w:r>
    </w:p>
    <w:p w14:paraId="344EC22D" w14:textId="7E369838" w:rsidR="00754F56" w:rsidRDefault="00754F56" w:rsidP="00904DE8">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29130D08" w14:textId="57689D86" w:rsidR="00855F80" w:rsidRPr="00AD67B3" w:rsidRDefault="00855F80" w:rsidP="00855F80">
      <w:pPr>
        <w:pStyle w:val="Heading3"/>
        <w:rPr>
          <w:noProof/>
        </w:rPr>
      </w:pPr>
      <w:r>
        <w:t xml:space="preserve">ITEM </w:t>
      </w:r>
      <w:r w:rsidR="001E06E5">
        <w:t>6</w:t>
      </w:r>
      <w:r>
        <w:br/>
        <w:t xml:space="preserve">Chapter </w:t>
      </w:r>
      <w:r w:rsidRPr="1998559E">
        <w:rPr>
          <w:noProof/>
        </w:rPr>
        <w:t xml:space="preserve">11A Housing Accessibility, </w:t>
      </w:r>
      <w:r>
        <w:t xml:space="preserve">Section </w:t>
      </w:r>
      <w:r w:rsidRPr="1998559E">
        <w:rPr>
          <w:i/>
          <w:iCs/>
          <w:noProof/>
        </w:rPr>
        <w:t>1138A.3.1 Forward reach</w:t>
      </w:r>
    </w:p>
    <w:p w14:paraId="5AE7C3A5" w14:textId="77777777" w:rsidR="00855F80" w:rsidRPr="00497AE8" w:rsidRDefault="00855F80" w:rsidP="00855F80">
      <w:pPr>
        <w:spacing w:before="120"/>
        <w:rPr>
          <w:rFonts w:cs="Arial"/>
          <w:i/>
          <w:iCs/>
        </w:rPr>
      </w:pPr>
      <w:r w:rsidRPr="00497AE8">
        <w:rPr>
          <w:rFonts w:cs="Arial"/>
          <w:b/>
          <w:bCs/>
          <w:i/>
          <w:iCs/>
        </w:rPr>
        <w:t>1138A.3.1 Forward reach</w:t>
      </w:r>
      <w:r w:rsidRPr="00497AE8">
        <w:rPr>
          <w:rFonts w:cs="Arial"/>
          <w:i/>
          <w:iCs/>
        </w:rPr>
        <w:t>.</w:t>
      </w:r>
    </w:p>
    <w:p w14:paraId="084985AF" w14:textId="6A93F73C" w:rsidR="00855F80" w:rsidRPr="00497AE8" w:rsidRDefault="00855F80" w:rsidP="00855F80">
      <w:pPr>
        <w:pStyle w:val="ListParagraph"/>
        <w:numPr>
          <w:ilvl w:val="0"/>
          <w:numId w:val="18"/>
        </w:numPr>
        <w:spacing w:before="120"/>
        <w:rPr>
          <w:rFonts w:cs="Arial"/>
          <w:i/>
          <w:iCs/>
        </w:rPr>
      </w:pPr>
      <w:r w:rsidRPr="00C97EF4">
        <w:rPr>
          <w:rFonts w:cs="Arial"/>
          <w:b/>
          <w:bCs/>
          <w:i/>
          <w:iCs/>
        </w:rPr>
        <w:t>Unobstructed</w:t>
      </w:r>
      <w:r w:rsidRPr="00497AE8">
        <w:rPr>
          <w:rFonts w:cs="Arial"/>
          <w:i/>
          <w:iCs/>
        </w:rPr>
        <w:t>. When the clear floor space allows only forward approach to an object, the maximum high forward reach allowed shall be 48 inches (1219 mm) and the minimum low forward reach shall be no less than 15 inches (381 mm) above the finish floor. (See Figure 11A-1I(a))</w:t>
      </w:r>
      <w:r w:rsidRPr="00A81555">
        <w:rPr>
          <w:noProof/>
        </w:rPr>
        <w:t xml:space="preserve"> </w:t>
      </w:r>
      <w:r w:rsidRPr="11B15DBD">
        <w:rPr>
          <w:noProof/>
        </w:rPr>
        <w:t>(No change to existing text in this paragraph.)</w:t>
      </w:r>
    </w:p>
    <w:p w14:paraId="079A3DE7" w14:textId="77777777" w:rsidR="00855F80" w:rsidRPr="00497AE8" w:rsidRDefault="00855F80" w:rsidP="00855F80">
      <w:pPr>
        <w:pStyle w:val="ListParagraph"/>
        <w:numPr>
          <w:ilvl w:val="0"/>
          <w:numId w:val="18"/>
        </w:numPr>
        <w:spacing w:before="120"/>
        <w:rPr>
          <w:rFonts w:cs="Arial"/>
          <w:i/>
          <w:iCs/>
        </w:rPr>
      </w:pPr>
      <w:r w:rsidRPr="00C97EF4">
        <w:rPr>
          <w:rFonts w:cs="Arial"/>
          <w:b/>
          <w:bCs/>
          <w:i/>
          <w:iCs/>
        </w:rPr>
        <w:t>Obstructed high reach</w:t>
      </w:r>
      <w:r w:rsidRPr="00497AE8">
        <w:rPr>
          <w:rFonts w:cs="Arial"/>
          <w:i/>
          <w:iCs/>
        </w:rPr>
        <w:t>. When the high forward reach is over an obstruction, the clear floor space shall extend beneath the element for a distance not less than the reach depth over the obstruction.</w:t>
      </w:r>
      <w:r w:rsidRPr="00A81555">
        <w:rPr>
          <w:noProof/>
        </w:rPr>
        <w:t xml:space="preserve"> </w:t>
      </w:r>
      <w:r w:rsidRPr="11B15DBD">
        <w:rPr>
          <w:noProof/>
        </w:rPr>
        <w:t>(No change to existing text in this paragraph.)</w:t>
      </w:r>
    </w:p>
    <w:p w14:paraId="43458AA7" w14:textId="2A81C462" w:rsidR="00855F80" w:rsidRPr="00CA377E" w:rsidRDefault="00855F80" w:rsidP="56C94A55">
      <w:pPr>
        <w:spacing w:before="120"/>
        <w:rPr>
          <w:rFonts w:cs="Arial"/>
          <w:i/>
          <w:iCs/>
        </w:rPr>
      </w:pPr>
      <w:r w:rsidRPr="56C94A55">
        <w:rPr>
          <w:rFonts w:cs="Arial"/>
          <w:i/>
          <w:iCs/>
        </w:rPr>
        <w:t>The high forward reach shall be 48 inches (1219 mm) maximum when the reach depth is 20 inches (508 mm) maximum. When the reach depth exceeds 20 inches (508 mm) but is not more than 25</w:t>
      </w:r>
      <w:r w:rsidR="001C00E8">
        <w:rPr>
          <w:rFonts w:cs="Arial"/>
          <w:i/>
          <w:iCs/>
          <w:u w:val="single"/>
        </w:rPr>
        <w:t>-1/2</w:t>
      </w:r>
      <w:r w:rsidRPr="56C94A55">
        <w:rPr>
          <w:rFonts w:cs="Arial"/>
          <w:i/>
          <w:iCs/>
        </w:rPr>
        <w:t xml:space="preserve"> inches (</w:t>
      </w:r>
      <w:r w:rsidRPr="56C94A55">
        <w:rPr>
          <w:rFonts w:cs="Arial"/>
          <w:i/>
          <w:iCs/>
          <w:strike/>
        </w:rPr>
        <w:t>635</w:t>
      </w:r>
      <w:r w:rsidRPr="56C94A55">
        <w:rPr>
          <w:rFonts w:cs="Arial"/>
          <w:i/>
          <w:iCs/>
        </w:rPr>
        <w:t xml:space="preserve"> </w:t>
      </w:r>
      <w:r w:rsidRPr="56C94A55">
        <w:rPr>
          <w:rFonts w:cs="Arial"/>
          <w:i/>
          <w:iCs/>
          <w:u w:val="single"/>
        </w:rPr>
        <w:t>6</w:t>
      </w:r>
      <w:r w:rsidR="00E709A3">
        <w:rPr>
          <w:rFonts w:cs="Arial"/>
          <w:i/>
          <w:iCs/>
          <w:u w:val="single"/>
        </w:rPr>
        <w:t>47.7</w:t>
      </w:r>
      <w:r w:rsidRPr="56C94A55">
        <w:rPr>
          <w:rFonts w:cs="Arial"/>
          <w:i/>
          <w:iCs/>
        </w:rPr>
        <w:t xml:space="preserve"> mm), the high forward reach shall be 44 </w:t>
      </w:r>
      <w:r w:rsidRPr="56C94A55">
        <w:rPr>
          <w:rFonts w:cs="Arial"/>
          <w:i/>
          <w:iCs/>
        </w:rPr>
        <w:lastRenderedPageBreak/>
        <w:t>inches (1118 mm) maximum. (See Figure 11A-1I(b).).</w:t>
      </w:r>
    </w:p>
    <w:p w14:paraId="5DE50A4C" w14:textId="77777777" w:rsidR="00855F80" w:rsidRPr="00AD67B3" w:rsidRDefault="00855F80" w:rsidP="00801B14">
      <w:pPr>
        <w:rPr>
          <w:rFonts w:cs="Arial"/>
        </w:rPr>
      </w:pPr>
      <w:r w:rsidRPr="00AD67B3">
        <w:rPr>
          <w:rFonts w:cs="Arial"/>
          <w:b/>
        </w:rPr>
        <w:t>Notation:</w:t>
      </w:r>
    </w:p>
    <w:p w14:paraId="36C8F973" w14:textId="0293B830" w:rsidR="00855F80" w:rsidRPr="0048373D" w:rsidRDefault="00855F80" w:rsidP="00855F80">
      <w:pPr>
        <w:spacing w:before="120"/>
        <w:rPr>
          <w:rFonts w:cs="Arial"/>
        </w:rPr>
      </w:pPr>
      <w:r w:rsidRPr="00AD67B3">
        <w:rPr>
          <w:rFonts w:cs="Arial"/>
        </w:rPr>
        <w:t xml:space="preserve">Authority: </w:t>
      </w:r>
      <w:r>
        <w:t xml:space="preserve">Health and Safety Code Sections 17040, 17920.9, 17921, 17922, </w:t>
      </w:r>
      <w:r w:rsidR="00C0468B">
        <w:t xml:space="preserve">18300, </w:t>
      </w:r>
      <w:r>
        <w:t>18620, 18630, 18640, 18670, 18865, 18871.3, 18873, 18873.1 through 18873.5</w:t>
      </w:r>
      <w:r w:rsidR="00BA5648">
        <w:t xml:space="preserve"> and 19990</w:t>
      </w:r>
      <w:r>
        <w:t>; and Government Code Sections 12955.1 and 12</w:t>
      </w:r>
      <w:r w:rsidR="00B75111">
        <w:t>9</w:t>
      </w:r>
      <w:r>
        <w:t>55.1.1</w:t>
      </w:r>
      <w:r w:rsidR="000D7112">
        <w:t>.</w:t>
      </w:r>
    </w:p>
    <w:p w14:paraId="57168392" w14:textId="403AB8BA" w:rsidR="00855F80" w:rsidRPr="00474AF7" w:rsidRDefault="00855F80" w:rsidP="00904DE8">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15C26D3B" w14:textId="3B92C870" w:rsidR="00855F80" w:rsidRPr="00AD67B3" w:rsidRDefault="00855F80" w:rsidP="00855F80">
      <w:pPr>
        <w:pStyle w:val="Heading3"/>
        <w:rPr>
          <w:noProof/>
        </w:rPr>
      </w:pPr>
      <w:r>
        <w:t>ITEM</w:t>
      </w:r>
      <w:r w:rsidR="00DD131A">
        <w:t xml:space="preserve"> 7</w:t>
      </w:r>
      <w:r>
        <w:br/>
        <w:t xml:space="preserve">Chapter </w:t>
      </w:r>
      <w:r w:rsidRPr="1998559E">
        <w:rPr>
          <w:noProof/>
        </w:rPr>
        <w:t xml:space="preserve">11A Housing Accessibility, </w:t>
      </w:r>
      <w:r>
        <w:t xml:space="preserve">Section </w:t>
      </w:r>
      <w:r w:rsidRPr="1998559E">
        <w:rPr>
          <w:i/>
          <w:iCs/>
          <w:noProof/>
        </w:rPr>
        <w:t>1138A.3.2 Side reach</w:t>
      </w:r>
    </w:p>
    <w:p w14:paraId="5EE52734" w14:textId="77777777" w:rsidR="00855F80" w:rsidRPr="00497AE8" w:rsidRDefault="00855F80" w:rsidP="00855F80">
      <w:pPr>
        <w:spacing w:before="120"/>
        <w:rPr>
          <w:rFonts w:cs="Arial"/>
          <w:i/>
          <w:iCs/>
        </w:rPr>
      </w:pPr>
      <w:r w:rsidRPr="00497AE8">
        <w:rPr>
          <w:rFonts w:cs="Arial"/>
          <w:b/>
          <w:bCs/>
          <w:i/>
          <w:iCs/>
        </w:rPr>
        <w:t>1138A.3.</w:t>
      </w:r>
      <w:r w:rsidRPr="006179DC">
        <w:t xml:space="preserve"> </w:t>
      </w:r>
      <w:r w:rsidRPr="006179DC">
        <w:rPr>
          <w:rFonts w:cs="Arial"/>
          <w:b/>
          <w:bCs/>
          <w:i/>
          <w:iCs/>
        </w:rPr>
        <w:t>2 Side</w:t>
      </w:r>
      <w:r>
        <w:rPr>
          <w:rFonts w:cs="Arial"/>
          <w:b/>
          <w:bCs/>
          <w:i/>
          <w:iCs/>
        </w:rPr>
        <w:t xml:space="preserve"> </w:t>
      </w:r>
      <w:r w:rsidRPr="00497AE8">
        <w:rPr>
          <w:rFonts w:cs="Arial"/>
          <w:b/>
          <w:bCs/>
          <w:i/>
          <w:iCs/>
        </w:rPr>
        <w:t>reach</w:t>
      </w:r>
      <w:r w:rsidRPr="00497AE8">
        <w:rPr>
          <w:rFonts w:cs="Arial"/>
          <w:i/>
          <w:iCs/>
        </w:rPr>
        <w:t>.</w:t>
      </w:r>
    </w:p>
    <w:p w14:paraId="181DEDA1" w14:textId="77777777" w:rsidR="00855F80" w:rsidRPr="005475A3" w:rsidRDefault="00855F80" w:rsidP="00855F80">
      <w:pPr>
        <w:pStyle w:val="ListParagraph"/>
        <w:numPr>
          <w:ilvl w:val="0"/>
          <w:numId w:val="19"/>
        </w:numPr>
        <w:spacing w:before="120"/>
        <w:rPr>
          <w:rFonts w:cs="Arial"/>
          <w:i/>
          <w:iCs/>
        </w:rPr>
      </w:pPr>
      <w:r w:rsidRPr="00C97EF4">
        <w:rPr>
          <w:rFonts w:cs="Arial"/>
          <w:b/>
          <w:bCs/>
          <w:i/>
          <w:iCs/>
        </w:rPr>
        <w:t>Unobstructed</w:t>
      </w:r>
      <w:r w:rsidRPr="00497AE8">
        <w:rPr>
          <w:rFonts w:cs="Arial"/>
          <w:i/>
          <w:iCs/>
        </w:rPr>
        <w:t>. When the clear floor space allows</w:t>
      </w:r>
      <w:r>
        <w:rPr>
          <w:rFonts w:cs="Arial"/>
          <w:i/>
          <w:iCs/>
        </w:rPr>
        <w:t xml:space="preserve"> a</w:t>
      </w:r>
      <w:r w:rsidRPr="00497AE8">
        <w:rPr>
          <w:rFonts w:cs="Arial"/>
          <w:i/>
          <w:iCs/>
        </w:rPr>
        <w:t xml:space="preserve"> </w:t>
      </w:r>
      <w:r w:rsidRPr="005475A3">
        <w:rPr>
          <w:rFonts w:cs="Arial"/>
          <w:i/>
          <w:iCs/>
        </w:rPr>
        <w:t>parallel approach to an element, and the side reach is unobstructed, the high side reach shall be 48 inches (1219 mm) maximum, and the low side reach shall be 15 inches (381 mm) minimum above the finish floor. (See Figures 11A-1J(a) and 11A-1J(b).)</w:t>
      </w:r>
      <w:r w:rsidRPr="11B15DBD">
        <w:rPr>
          <w:rFonts w:cs="Arial"/>
          <w:i/>
          <w:iCs/>
        </w:rPr>
        <w:t xml:space="preserve"> </w:t>
      </w:r>
      <w:r w:rsidRPr="11B15DBD">
        <w:rPr>
          <w:noProof/>
        </w:rPr>
        <w:t>(No change to existing text in this paragraph.)</w:t>
      </w:r>
    </w:p>
    <w:p w14:paraId="4F31F701" w14:textId="73CF8261" w:rsidR="00855F80" w:rsidRPr="005261B3" w:rsidRDefault="00855F80" w:rsidP="00847EFB">
      <w:pPr>
        <w:pStyle w:val="ListParagraph"/>
        <w:spacing w:before="120"/>
        <w:rPr>
          <w:rFonts w:cs="Arial"/>
          <w:b/>
          <w:bCs/>
          <w:i/>
          <w:iCs/>
        </w:rPr>
      </w:pPr>
      <w:r w:rsidRPr="005261B3">
        <w:rPr>
          <w:rFonts w:cs="Arial"/>
          <w:b/>
          <w:bCs/>
          <w:i/>
          <w:iCs/>
        </w:rPr>
        <w:t>Exceptions:</w:t>
      </w:r>
      <w:r w:rsidR="00CA0BB0">
        <w:rPr>
          <w:rFonts w:cs="Arial"/>
          <w:i/>
          <w:iCs/>
        </w:rPr>
        <w:t xml:space="preserve"> </w:t>
      </w:r>
      <w:r w:rsidR="00CA0BB0" w:rsidRPr="11B15DBD">
        <w:rPr>
          <w:noProof/>
        </w:rPr>
        <w:t>(No change to existing exception</w:t>
      </w:r>
      <w:r w:rsidR="00CA0BB0">
        <w:rPr>
          <w:noProof/>
        </w:rPr>
        <w:t>s</w:t>
      </w:r>
      <w:r w:rsidR="00CA0BB0" w:rsidRPr="11B15DBD">
        <w:rPr>
          <w:noProof/>
        </w:rPr>
        <w:t>.)</w:t>
      </w:r>
    </w:p>
    <w:p w14:paraId="4ADDC013" w14:textId="6B7B1086" w:rsidR="00855F80" w:rsidRPr="005475A3" w:rsidRDefault="00855F80" w:rsidP="00855F80">
      <w:pPr>
        <w:pStyle w:val="ListParagraph"/>
        <w:numPr>
          <w:ilvl w:val="0"/>
          <w:numId w:val="20"/>
        </w:numPr>
        <w:spacing w:before="120"/>
        <w:rPr>
          <w:rFonts w:cs="Arial"/>
          <w:i/>
          <w:iCs/>
        </w:rPr>
      </w:pPr>
      <w:r w:rsidRPr="005475A3">
        <w:rPr>
          <w:rFonts w:cs="Arial"/>
          <w:i/>
          <w:iCs/>
        </w:rPr>
        <w:t>An obstruction shall be permitted between the clear floor space and the element when the depth of the obstruction is 10 inches (254 mm) maximum.</w:t>
      </w:r>
    </w:p>
    <w:p w14:paraId="381E6328" w14:textId="719E85A8" w:rsidR="00855F80" w:rsidRDefault="00855F80" w:rsidP="00847EFB">
      <w:pPr>
        <w:pStyle w:val="ListParagraph"/>
        <w:numPr>
          <w:ilvl w:val="0"/>
          <w:numId w:val="20"/>
        </w:numPr>
        <w:spacing w:before="120"/>
        <w:rPr>
          <w:rFonts w:cs="Arial"/>
          <w:i/>
          <w:iCs/>
        </w:rPr>
      </w:pPr>
      <w:r w:rsidRPr="005475A3">
        <w:rPr>
          <w:rFonts w:cs="Arial"/>
          <w:i/>
          <w:iCs/>
        </w:rPr>
        <w:t>Bookshelves shall be permitted to be 54 inches (1372 mm) maximum above the finish floor. Bookshelves may be greater than 54 inches (1372 mm) above the finish floor when an attendant is available to assist persons with disabilities</w:t>
      </w:r>
      <w:r>
        <w:rPr>
          <w:rFonts w:cs="Arial"/>
          <w:i/>
          <w:iCs/>
        </w:rPr>
        <w:t>.</w:t>
      </w:r>
    </w:p>
    <w:p w14:paraId="18FEE0CC" w14:textId="07786D8C" w:rsidR="00855F80" w:rsidRPr="006177CC" w:rsidRDefault="00855F80" w:rsidP="006177CC">
      <w:pPr>
        <w:pStyle w:val="ListParagraph"/>
        <w:numPr>
          <w:ilvl w:val="0"/>
          <w:numId w:val="19"/>
        </w:numPr>
        <w:spacing w:before="120"/>
        <w:rPr>
          <w:rFonts w:cs="Arial"/>
          <w:i/>
          <w:iCs/>
        </w:rPr>
      </w:pPr>
      <w:r w:rsidRPr="005261B3">
        <w:rPr>
          <w:rFonts w:cs="Arial"/>
          <w:b/>
          <w:bCs/>
          <w:i/>
          <w:iCs/>
        </w:rPr>
        <w:t>Obstructed high reach</w:t>
      </w:r>
      <w:r w:rsidRPr="005261B3">
        <w:rPr>
          <w:rFonts w:cs="Arial"/>
          <w:i/>
          <w:iCs/>
        </w:rPr>
        <w:t xml:space="preserve">. </w:t>
      </w:r>
      <w:r w:rsidRPr="004D7812">
        <w:rPr>
          <w:rFonts w:cs="Arial"/>
          <w:i/>
          <w:iCs/>
        </w:rPr>
        <w:t>When a clear floor space allows a parallel approach to an element and the high side reach is over an obstruction, the height of the obstruction shall be 34 inches (864 mm) maximum and the depth of the obstruction shall be 24 inches (610 mm) maximum.</w:t>
      </w:r>
      <w:r w:rsidR="00CA0BB0" w:rsidRPr="00CA0BB0">
        <w:rPr>
          <w:noProof/>
        </w:rPr>
        <w:t xml:space="preserve"> </w:t>
      </w:r>
      <w:r w:rsidR="00CA0BB0" w:rsidRPr="11B15DBD">
        <w:rPr>
          <w:noProof/>
        </w:rPr>
        <w:t>(No change to existing text in this paragraph.)</w:t>
      </w:r>
      <w:r w:rsidR="006177CC">
        <w:rPr>
          <w:noProof/>
        </w:rPr>
        <w:br/>
      </w:r>
      <w:r w:rsidR="006177CC">
        <w:rPr>
          <w:noProof/>
        </w:rPr>
        <w:br/>
      </w:r>
      <w:r w:rsidRPr="006177CC">
        <w:rPr>
          <w:rFonts w:cs="Arial"/>
          <w:i/>
          <w:iCs/>
        </w:rPr>
        <w:t>The high side reach shall be 48 inches (1219 mm) maximum for a reach depth of 10 inches (254 mm) maximum. When the reach depth exceeds 10 inches (254 mm), but no more than 24 inches (610 mm), the high side reach shall be 46 inches (1168 mm) maximum. (See Figure 11A-1J(c).)</w:t>
      </w:r>
      <w:r w:rsidRPr="006177CC">
        <w:rPr>
          <w:i/>
          <w:iCs/>
          <w:noProof/>
        </w:rPr>
        <w:t xml:space="preserve"> </w:t>
      </w:r>
      <w:r w:rsidR="00CA0BB0" w:rsidRPr="11B15DBD">
        <w:rPr>
          <w:noProof/>
        </w:rPr>
        <w:t>(No change to existing text in this paragraph.)</w:t>
      </w:r>
    </w:p>
    <w:p w14:paraId="6864CC30" w14:textId="4C6730A0" w:rsidR="00273858" w:rsidRDefault="00855F80" w:rsidP="00855F80">
      <w:pPr>
        <w:spacing w:before="120"/>
        <w:ind w:left="720"/>
        <w:rPr>
          <w:i/>
        </w:rPr>
      </w:pPr>
      <w:r w:rsidRPr="002E69D9">
        <w:rPr>
          <w:b/>
          <w:bCs/>
          <w:i/>
        </w:rPr>
        <w:t>Exception</w:t>
      </w:r>
      <w:r w:rsidR="00273858" w:rsidRPr="00793151">
        <w:rPr>
          <w:b/>
          <w:i/>
          <w:u w:val="single"/>
        </w:rPr>
        <w:t>s</w:t>
      </w:r>
      <w:r w:rsidRPr="002E69D9">
        <w:rPr>
          <w:b/>
          <w:bCs/>
          <w:i/>
        </w:rPr>
        <w:t>:</w:t>
      </w:r>
      <w:r w:rsidRPr="00F54748">
        <w:rPr>
          <w:i/>
        </w:rPr>
        <w:t xml:space="preserve"> </w:t>
      </w:r>
    </w:p>
    <w:p w14:paraId="0502BF24" w14:textId="344DCA44" w:rsidR="00855F80" w:rsidRDefault="00855F80" w:rsidP="00F912A9">
      <w:pPr>
        <w:pStyle w:val="ListParagraph"/>
        <w:numPr>
          <w:ilvl w:val="0"/>
          <w:numId w:val="32"/>
        </w:numPr>
        <w:spacing w:before="120"/>
        <w:rPr>
          <w:noProof/>
        </w:rPr>
      </w:pPr>
      <w:r w:rsidRPr="00F912A9">
        <w:rPr>
          <w:i/>
        </w:rPr>
        <w:t>Kitchen countertops in dwelling units, and the top of washing machines and clothes dryers shall be permitted to be 36 inches (914 mm) maximum above the finish floor.</w:t>
      </w:r>
      <w:r w:rsidRPr="002E69D9">
        <w:rPr>
          <w:noProof/>
        </w:rPr>
        <w:t xml:space="preserve"> </w:t>
      </w:r>
      <w:r w:rsidRPr="11B15DBD">
        <w:rPr>
          <w:noProof/>
        </w:rPr>
        <w:t>(No change to existing exception</w:t>
      </w:r>
      <w:r w:rsidR="00C01849" w:rsidRPr="00892A56">
        <w:rPr>
          <w:rFonts w:cs="Arial"/>
          <w:szCs w:val="24"/>
        </w:rPr>
        <w:t xml:space="preserve"> except renumbering</w:t>
      </w:r>
      <w:r w:rsidRPr="11B15DBD">
        <w:rPr>
          <w:noProof/>
        </w:rPr>
        <w:t>.)</w:t>
      </w:r>
    </w:p>
    <w:p w14:paraId="14576430" w14:textId="2908FA94" w:rsidR="00614FB2" w:rsidRPr="001C2064" w:rsidRDefault="00273858" w:rsidP="001C2064">
      <w:pPr>
        <w:pStyle w:val="ListParagraph"/>
        <w:numPr>
          <w:ilvl w:val="0"/>
          <w:numId w:val="32"/>
        </w:numPr>
        <w:spacing w:before="120" w:after="0"/>
        <w:rPr>
          <w:rFonts w:cs="Arial"/>
          <w:i/>
          <w:iCs/>
          <w:u w:val="single"/>
        </w:rPr>
      </w:pPr>
      <w:r w:rsidRPr="00F912A9">
        <w:rPr>
          <w:i/>
          <w:iCs/>
          <w:u w:val="single"/>
        </w:rPr>
        <w:t xml:space="preserve">Cabinets shall be allowed to extend 24 inches from the wall beneath </w:t>
      </w:r>
      <w:r w:rsidRPr="00F912A9">
        <w:rPr>
          <w:rFonts w:cs="Arial"/>
          <w:i/>
          <w:iCs/>
          <w:u w:val="single"/>
        </w:rPr>
        <w:t>a control or switch with an additional countertop extension of 1-1/2 inches for a maximum dimension of 25-1/2 inches</w:t>
      </w:r>
      <w:r w:rsidR="008E28A0">
        <w:rPr>
          <w:rFonts w:cs="Arial"/>
          <w:i/>
          <w:iCs/>
          <w:u w:val="single"/>
        </w:rPr>
        <w:t xml:space="preserve"> </w:t>
      </w:r>
      <w:r w:rsidR="008E28A0" w:rsidRPr="00C451E5">
        <w:rPr>
          <w:rFonts w:cs="Arial"/>
          <w:i/>
          <w:iCs/>
          <w:u w:val="single"/>
        </w:rPr>
        <w:t>(647.7 mm)</w:t>
      </w:r>
      <w:r w:rsidR="008E28A0" w:rsidRPr="00122CF3">
        <w:rPr>
          <w:rFonts w:cs="Arial"/>
          <w:i/>
          <w:iCs/>
          <w:u w:val="single"/>
        </w:rPr>
        <w:t xml:space="preserve"> </w:t>
      </w:r>
      <w:r w:rsidRPr="00F912A9">
        <w:rPr>
          <w:rFonts w:cs="Arial"/>
          <w:i/>
          <w:iCs/>
          <w:u w:val="single"/>
        </w:rPr>
        <w:t>to allow for the use of industry standard and commercially produced cabinets and countertops.</w:t>
      </w:r>
    </w:p>
    <w:p w14:paraId="556B7C90" w14:textId="77777777" w:rsidR="00855F80" w:rsidRPr="00AD67B3" w:rsidRDefault="00855F80" w:rsidP="00855F80">
      <w:pPr>
        <w:spacing w:before="120"/>
        <w:rPr>
          <w:rFonts w:cs="Arial"/>
        </w:rPr>
      </w:pPr>
      <w:r w:rsidRPr="00AD67B3">
        <w:rPr>
          <w:rFonts w:cs="Arial"/>
          <w:b/>
        </w:rPr>
        <w:lastRenderedPageBreak/>
        <w:t>Notation:</w:t>
      </w:r>
    </w:p>
    <w:p w14:paraId="17969684" w14:textId="36755749" w:rsidR="00855F80" w:rsidRPr="004E6628" w:rsidRDefault="00855F80" w:rsidP="00855F80">
      <w:pPr>
        <w:spacing w:before="120"/>
        <w:rPr>
          <w:rFonts w:cs="Arial"/>
        </w:rPr>
      </w:pPr>
      <w:r w:rsidRPr="00AD67B3">
        <w:rPr>
          <w:rFonts w:cs="Arial"/>
        </w:rPr>
        <w:t>Authority</w:t>
      </w:r>
      <w:r w:rsidRPr="004E6628">
        <w:rPr>
          <w:rFonts w:cs="Arial"/>
        </w:rPr>
        <w:t xml:space="preserve">: </w:t>
      </w:r>
      <w:r w:rsidRPr="004E6628">
        <w:rPr>
          <w:szCs w:val="24"/>
        </w:rPr>
        <w:t xml:space="preserve">Health and Safety Code Sections 17040, 17920.9, 17921, 17922, </w:t>
      </w:r>
      <w:r w:rsidR="007C0332">
        <w:rPr>
          <w:szCs w:val="24"/>
        </w:rPr>
        <w:t xml:space="preserve">18300, </w:t>
      </w:r>
      <w:r w:rsidRPr="004E6628">
        <w:rPr>
          <w:szCs w:val="24"/>
        </w:rPr>
        <w:t>18620, 18630, 18640, 18670, 18865, 18871.3, 18873,</w:t>
      </w:r>
      <w:r w:rsidR="00D54C8B">
        <w:rPr>
          <w:szCs w:val="24"/>
        </w:rPr>
        <w:t xml:space="preserve"> </w:t>
      </w:r>
      <w:r w:rsidRPr="004E6628">
        <w:rPr>
          <w:szCs w:val="24"/>
        </w:rPr>
        <w:t>18873.1 through 18873.5</w:t>
      </w:r>
      <w:r w:rsidR="0085286C">
        <w:rPr>
          <w:szCs w:val="24"/>
        </w:rPr>
        <w:t xml:space="preserve"> </w:t>
      </w:r>
      <w:r w:rsidR="0085286C">
        <w:t>and 19990</w:t>
      </w:r>
      <w:r w:rsidRPr="004E6628">
        <w:rPr>
          <w:szCs w:val="24"/>
        </w:rPr>
        <w:t>; and Government Code Sections 12955.1 and 12</w:t>
      </w:r>
      <w:r w:rsidR="004E6628" w:rsidRPr="004E6628">
        <w:rPr>
          <w:szCs w:val="24"/>
        </w:rPr>
        <w:t>9</w:t>
      </w:r>
      <w:r w:rsidRPr="004E6628">
        <w:rPr>
          <w:szCs w:val="24"/>
        </w:rPr>
        <w:t>55.1.1</w:t>
      </w:r>
      <w:r w:rsidR="000D7112">
        <w:rPr>
          <w:szCs w:val="24"/>
        </w:rPr>
        <w:t>.</w:t>
      </w:r>
    </w:p>
    <w:p w14:paraId="0718FADB" w14:textId="6BCE2C14" w:rsidR="00855F80" w:rsidRDefault="00855F80" w:rsidP="00904DE8">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sectPr w:rsidR="00855F80"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71DF" w14:textId="77777777" w:rsidR="008A1FE5" w:rsidRDefault="008A1FE5">
      <w:r>
        <w:separator/>
      </w:r>
    </w:p>
  </w:endnote>
  <w:endnote w:type="continuationSeparator" w:id="0">
    <w:p w14:paraId="066E9A48" w14:textId="77777777" w:rsidR="008A1FE5" w:rsidRDefault="008A1FE5">
      <w:r>
        <w:continuationSeparator/>
      </w:r>
    </w:p>
  </w:endnote>
  <w:endnote w:type="continuationNotice" w:id="1">
    <w:p w14:paraId="09C46B87" w14:textId="77777777" w:rsidR="008A1FE5" w:rsidRDefault="008A1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3D055E58" w:rsidR="0067477E" w:rsidRPr="00060E49" w:rsidRDefault="0067477E" w:rsidP="00060E49">
    <w:pPr>
      <w:pStyle w:val="Footer"/>
      <w:tabs>
        <w:tab w:val="clear" w:pos="4320"/>
        <w:tab w:val="clear" w:pos="8640"/>
        <w:tab w:val="right" w:pos="9180"/>
      </w:tabs>
      <w:spacing w:after="0"/>
      <w:ind w:left="108"/>
      <w:rPr>
        <w:rFonts w:cs="Arial"/>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3612F8">
      <w:rPr>
        <w:rFonts w:cs="Arial"/>
        <w:sz w:val="16"/>
      </w:rPr>
      <w:t>December</w:t>
    </w:r>
    <w:r w:rsidR="00C5376B">
      <w:rPr>
        <w:rFonts w:cs="Arial"/>
        <w:sz w:val="16"/>
      </w:rPr>
      <w:t xml:space="preserve"> 6</w:t>
    </w:r>
    <w:r w:rsidR="00830ABA">
      <w:rPr>
        <w:rFonts w:cs="Arial"/>
        <w:sz w:val="16"/>
      </w:rPr>
      <w:t xml:space="preserve">, </w:t>
    </w:r>
    <w:r w:rsidR="001E4ECB">
      <w:rPr>
        <w:rFonts w:cs="Arial"/>
        <w:sz w:val="16"/>
      </w:rPr>
      <w:t>2022</w:t>
    </w:r>
  </w:p>
  <w:p w14:paraId="166C3041" w14:textId="0065EB6D" w:rsidR="0067477E" w:rsidRDefault="00EC1A48" w:rsidP="002F5C0F">
    <w:pPr>
      <w:pStyle w:val="Footer"/>
      <w:tabs>
        <w:tab w:val="clear" w:pos="4320"/>
        <w:tab w:val="clear" w:pos="8640"/>
        <w:tab w:val="center" w:pos="5040"/>
        <w:tab w:val="right" w:pos="9180"/>
      </w:tabs>
      <w:spacing w:after="0"/>
      <w:ind w:left="108"/>
      <w:rPr>
        <w:sz w:val="16"/>
      </w:rPr>
    </w:pPr>
    <w:r>
      <w:rPr>
        <w:rFonts w:cs="Arial"/>
        <w:sz w:val="16"/>
      </w:rPr>
      <w:t>HCD 1-AC-</w:t>
    </w:r>
    <w:r w:rsidR="00EB3F26">
      <w:rPr>
        <w:rFonts w:cs="Arial"/>
        <w:sz w:val="16"/>
      </w:rPr>
      <w:t>01</w:t>
    </w:r>
    <w:r>
      <w:rPr>
        <w:rFonts w:cs="Arial"/>
        <w:sz w:val="16"/>
      </w:rPr>
      <w:t>/22</w:t>
    </w:r>
    <w:r w:rsidR="0067477E" w:rsidRPr="00B70204">
      <w:rPr>
        <w:rFonts w:cs="Arial"/>
        <w:sz w:val="16"/>
      </w:rPr>
      <w:t xml:space="preserve"> </w:t>
    </w:r>
    <w:r w:rsidR="0032595C">
      <w:rPr>
        <w:rFonts w:cs="Arial"/>
        <w:sz w:val="16"/>
      </w:rPr>
      <w:t>–</w:t>
    </w:r>
    <w:r w:rsidR="0067477E" w:rsidRPr="00B70204">
      <w:rPr>
        <w:rFonts w:cs="Arial"/>
        <w:sz w:val="16"/>
      </w:rPr>
      <w:t xml:space="preserve"> Part</w:t>
    </w:r>
    <w:r w:rsidR="0032595C">
      <w:rPr>
        <w:rFonts w:cs="Arial"/>
        <w:sz w:val="16"/>
      </w:rPr>
      <w:t xml:space="preserve"> 2</w:t>
    </w:r>
    <w:r w:rsidR="0067477E" w:rsidRPr="00B70204">
      <w:rPr>
        <w:rFonts w:cs="Arial"/>
        <w:sz w:val="16"/>
      </w:rPr>
      <w:t xml:space="preserve"> -</w:t>
    </w:r>
    <w:r w:rsidR="00830ABA">
      <w:rPr>
        <w:rFonts w:cs="Arial"/>
        <w:sz w:val="16"/>
      </w:rPr>
      <w:t xml:space="preserve"> </w:t>
    </w:r>
    <w:r w:rsidR="0032595C">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56042E">
      <w:rPr>
        <w:sz w:val="16"/>
      </w:rPr>
      <w:t>I</w:t>
    </w:r>
    <w:r w:rsidR="005E30C4">
      <w:rPr>
        <w:sz w:val="16"/>
      </w:rPr>
      <w:t>ET</w:t>
    </w:r>
  </w:p>
  <w:p w14:paraId="156132DC" w14:textId="60D27E7F" w:rsidR="004624C8" w:rsidRPr="004624C8" w:rsidRDefault="008A5C13" w:rsidP="00FD0846">
    <w:pPr>
      <w:pStyle w:val="Footer"/>
      <w:tabs>
        <w:tab w:val="clear" w:pos="4320"/>
        <w:tab w:val="clear" w:pos="8640"/>
        <w:tab w:val="center" w:pos="5040"/>
        <w:tab w:val="right" w:pos="9180"/>
      </w:tabs>
      <w:spacing w:after="0"/>
      <w:ind w:left="108"/>
      <w:rPr>
        <w:sz w:val="16"/>
      </w:rPr>
    </w:pPr>
    <w:r>
      <w:rPr>
        <w:rFonts w:cs="Arial"/>
        <w:sz w:val="16"/>
      </w:rPr>
      <w:t>Department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5308" w14:textId="77777777" w:rsidR="008A1FE5" w:rsidRDefault="008A1FE5">
      <w:r>
        <w:separator/>
      </w:r>
    </w:p>
  </w:footnote>
  <w:footnote w:type="continuationSeparator" w:id="0">
    <w:p w14:paraId="5083CA7B" w14:textId="77777777" w:rsidR="008A1FE5" w:rsidRDefault="008A1FE5">
      <w:r>
        <w:continuationSeparator/>
      </w:r>
    </w:p>
  </w:footnote>
  <w:footnote w:type="continuationNotice" w:id="1">
    <w:p w14:paraId="521D5B9F" w14:textId="77777777" w:rsidR="008A1FE5" w:rsidRDefault="008A1F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226D2"/>
    <w:multiLevelType w:val="hybridMultilevel"/>
    <w:tmpl w:val="2464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96BF3"/>
    <w:multiLevelType w:val="hybridMultilevel"/>
    <w:tmpl w:val="67C6B87A"/>
    <w:lvl w:ilvl="0" w:tplc="D09A4396">
      <w:start w:val="1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C34FB6"/>
    <w:multiLevelType w:val="hybridMultilevel"/>
    <w:tmpl w:val="20B04DB8"/>
    <w:lvl w:ilvl="0" w:tplc="DB3E86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521EE"/>
    <w:multiLevelType w:val="hybridMultilevel"/>
    <w:tmpl w:val="B82C2352"/>
    <w:lvl w:ilvl="0" w:tplc="5DFC071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60104"/>
    <w:multiLevelType w:val="hybridMultilevel"/>
    <w:tmpl w:val="10A00A2C"/>
    <w:lvl w:ilvl="0" w:tplc="0409000F">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12C19"/>
    <w:multiLevelType w:val="hybridMultilevel"/>
    <w:tmpl w:val="DE2844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9B10D9"/>
    <w:multiLevelType w:val="hybridMultilevel"/>
    <w:tmpl w:val="52620578"/>
    <w:lvl w:ilvl="0" w:tplc="1F58F526">
      <w:start w:val="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0A7F02"/>
    <w:multiLevelType w:val="hybridMultilevel"/>
    <w:tmpl w:val="7CA65BFE"/>
    <w:lvl w:ilvl="0" w:tplc="A5C2ADAA">
      <w:start w:val="1"/>
      <w:numFmt w:val="decimal"/>
      <w:lvlText w:val="%1."/>
      <w:lvlJc w:val="left"/>
      <w:pPr>
        <w:ind w:left="1440" w:hanging="360"/>
      </w:pPr>
      <w:rPr>
        <w:rFonts w:hint="default"/>
        <w:i w:val="0"/>
        <w:iCs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51031C"/>
    <w:multiLevelType w:val="hybridMultilevel"/>
    <w:tmpl w:val="E49A7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C291546"/>
    <w:multiLevelType w:val="hybridMultilevel"/>
    <w:tmpl w:val="8F8A2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B5BE4"/>
    <w:multiLevelType w:val="hybridMultilevel"/>
    <w:tmpl w:val="64301D3E"/>
    <w:lvl w:ilvl="0" w:tplc="2D743516">
      <w:start w:val="10"/>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20261"/>
    <w:multiLevelType w:val="hybridMultilevel"/>
    <w:tmpl w:val="E7CA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6503F"/>
    <w:multiLevelType w:val="hybridMultilevel"/>
    <w:tmpl w:val="081EA460"/>
    <w:lvl w:ilvl="0" w:tplc="0409000F">
      <w:start w:val="1"/>
      <w:numFmt w:val="decimal"/>
      <w:lvlText w:val="%1."/>
      <w:lvlJc w:val="left"/>
      <w:pPr>
        <w:ind w:left="720" w:hanging="360"/>
      </w:pPr>
      <w:rPr>
        <w:rFonts w:hint="default"/>
        <w:i w:val="0"/>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75961"/>
    <w:multiLevelType w:val="hybridMultilevel"/>
    <w:tmpl w:val="19E0EB2A"/>
    <w:lvl w:ilvl="0" w:tplc="3BAA539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956E6"/>
    <w:multiLevelType w:val="hybridMultilevel"/>
    <w:tmpl w:val="A82405D6"/>
    <w:lvl w:ilvl="0" w:tplc="2AE85FE0">
      <w:start w:val="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248A1"/>
    <w:multiLevelType w:val="hybridMultilevel"/>
    <w:tmpl w:val="362A4DF8"/>
    <w:lvl w:ilvl="0" w:tplc="37285CBC">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015AB"/>
    <w:multiLevelType w:val="hybridMultilevel"/>
    <w:tmpl w:val="A1A6C682"/>
    <w:lvl w:ilvl="0" w:tplc="0644998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57587"/>
    <w:multiLevelType w:val="hybridMultilevel"/>
    <w:tmpl w:val="EE28FA44"/>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07195"/>
    <w:multiLevelType w:val="hybridMultilevel"/>
    <w:tmpl w:val="66509A08"/>
    <w:lvl w:ilvl="0" w:tplc="EF6A3480">
      <w:start w:val="1"/>
      <w:numFmt w:val="decimal"/>
      <w:lvlText w:val="%1."/>
      <w:lvlJc w:val="left"/>
      <w:pPr>
        <w:ind w:left="1440" w:hanging="360"/>
      </w:pPr>
      <w:rPr>
        <w:rFonts w:hint="default"/>
        <w:i/>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9A4416"/>
    <w:multiLevelType w:val="hybridMultilevel"/>
    <w:tmpl w:val="5316F0DA"/>
    <w:lvl w:ilvl="0" w:tplc="5DFC071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481802">
    <w:abstractNumId w:val="17"/>
  </w:num>
  <w:num w:numId="2" w16cid:durableId="1759058689">
    <w:abstractNumId w:val="21"/>
  </w:num>
  <w:num w:numId="3" w16cid:durableId="1472869261">
    <w:abstractNumId w:val="23"/>
  </w:num>
  <w:num w:numId="4" w16cid:durableId="1521746653">
    <w:abstractNumId w:val="32"/>
  </w:num>
  <w:num w:numId="5" w16cid:durableId="862129752">
    <w:abstractNumId w:val="20"/>
  </w:num>
  <w:num w:numId="6" w16cid:durableId="1978602198">
    <w:abstractNumId w:val="29"/>
  </w:num>
  <w:num w:numId="7" w16cid:durableId="697774814">
    <w:abstractNumId w:val="9"/>
  </w:num>
  <w:num w:numId="8" w16cid:durableId="2096706454">
    <w:abstractNumId w:val="7"/>
  </w:num>
  <w:num w:numId="9" w16cid:durableId="125703017">
    <w:abstractNumId w:val="6"/>
  </w:num>
  <w:num w:numId="10" w16cid:durableId="620265129">
    <w:abstractNumId w:val="5"/>
  </w:num>
  <w:num w:numId="11" w16cid:durableId="642854978">
    <w:abstractNumId w:val="4"/>
  </w:num>
  <w:num w:numId="12" w16cid:durableId="616333248">
    <w:abstractNumId w:val="8"/>
  </w:num>
  <w:num w:numId="13" w16cid:durableId="285431460">
    <w:abstractNumId w:val="3"/>
  </w:num>
  <w:num w:numId="14" w16cid:durableId="92556721">
    <w:abstractNumId w:val="2"/>
  </w:num>
  <w:num w:numId="15" w16cid:durableId="1271430539">
    <w:abstractNumId w:val="1"/>
  </w:num>
  <w:num w:numId="16" w16cid:durableId="1943492078">
    <w:abstractNumId w:val="0"/>
  </w:num>
  <w:num w:numId="17" w16cid:durableId="2082364200">
    <w:abstractNumId w:val="19"/>
  </w:num>
  <w:num w:numId="18" w16cid:durableId="126558652">
    <w:abstractNumId w:val="25"/>
  </w:num>
  <w:num w:numId="19" w16cid:durableId="132648158">
    <w:abstractNumId w:val="12"/>
  </w:num>
  <w:num w:numId="20" w16cid:durableId="874930103">
    <w:abstractNumId w:val="15"/>
  </w:num>
  <w:num w:numId="21" w16cid:durableId="383405376">
    <w:abstractNumId w:val="31"/>
  </w:num>
  <w:num w:numId="22" w16cid:durableId="1764229850">
    <w:abstractNumId w:val="10"/>
  </w:num>
  <w:num w:numId="23" w16cid:durableId="732384837">
    <w:abstractNumId w:val="22"/>
  </w:num>
  <w:num w:numId="24" w16cid:durableId="616181408">
    <w:abstractNumId w:val="24"/>
  </w:num>
  <w:num w:numId="25" w16cid:durableId="1418475892">
    <w:abstractNumId w:val="14"/>
  </w:num>
  <w:num w:numId="26" w16cid:durableId="867570765">
    <w:abstractNumId w:val="27"/>
  </w:num>
  <w:num w:numId="27" w16cid:durableId="1356465563">
    <w:abstractNumId w:val="26"/>
  </w:num>
  <w:num w:numId="28" w16cid:durableId="84694737">
    <w:abstractNumId w:val="30"/>
  </w:num>
  <w:num w:numId="29" w16cid:durableId="499808421">
    <w:abstractNumId w:val="11"/>
  </w:num>
  <w:num w:numId="30" w16cid:durableId="1822233173">
    <w:abstractNumId w:val="28"/>
  </w:num>
  <w:num w:numId="31" w16cid:durableId="502470940">
    <w:abstractNumId w:val="18"/>
  </w:num>
  <w:num w:numId="32" w16cid:durableId="613561169">
    <w:abstractNumId w:val="34"/>
  </w:num>
  <w:num w:numId="33" w16cid:durableId="1100875318">
    <w:abstractNumId w:val="35"/>
  </w:num>
  <w:num w:numId="34" w16cid:durableId="1611158412">
    <w:abstractNumId w:val="13"/>
  </w:num>
  <w:num w:numId="35" w16cid:durableId="878929992">
    <w:abstractNumId w:val="16"/>
  </w:num>
  <w:num w:numId="36" w16cid:durableId="16362579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B26"/>
    <w:rsid w:val="00016215"/>
    <w:rsid w:val="00016301"/>
    <w:rsid w:val="00016692"/>
    <w:rsid w:val="00017D65"/>
    <w:rsid w:val="00021152"/>
    <w:rsid w:val="00021B74"/>
    <w:rsid w:val="000257AD"/>
    <w:rsid w:val="0002707B"/>
    <w:rsid w:val="00027600"/>
    <w:rsid w:val="0003310C"/>
    <w:rsid w:val="00033111"/>
    <w:rsid w:val="00033289"/>
    <w:rsid w:val="00033FAC"/>
    <w:rsid w:val="000340B6"/>
    <w:rsid w:val="00035F11"/>
    <w:rsid w:val="00036F7D"/>
    <w:rsid w:val="000431B3"/>
    <w:rsid w:val="00046F6C"/>
    <w:rsid w:val="00050DCC"/>
    <w:rsid w:val="00060762"/>
    <w:rsid w:val="00060E49"/>
    <w:rsid w:val="00061532"/>
    <w:rsid w:val="000617B4"/>
    <w:rsid w:val="000622C6"/>
    <w:rsid w:val="000662A1"/>
    <w:rsid w:val="000667AD"/>
    <w:rsid w:val="00070990"/>
    <w:rsid w:val="000769E8"/>
    <w:rsid w:val="00081045"/>
    <w:rsid w:val="000835B2"/>
    <w:rsid w:val="000836B0"/>
    <w:rsid w:val="000845D1"/>
    <w:rsid w:val="0008769D"/>
    <w:rsid w:val="00087DB0"/>
    <w:rsid w:val="00092DBE"/>
    <w:rsid w:val="00093E16"/>
    <w:rsid w:val="00093F81"/>
    <w:rsid w:val="000A240E"/>
    <w:rsid w:val="000A2D7E"/>
    <w:rsid w:val="000A2EA7"/>
    <w:rsid w:val="000A34AB"/>
    <w:rsid w:val="000A3579"/>
    <w:rsid w:val="000A3C0F"/>
    <w:rsid w:val="000A606F"/>
    <w:rsid w:val="000A645F"/>
    <w:rsid w:val="000B1DBF"/>
    <w:rsid w:val="000B507E"/>
    <w:rsid w:val="000B5255"/>
    <w:rsid w:val="000B58C9"/>
    <w:rsid w:val="000B6190"/>
    <w:rsid w:val="000B7552"/>
    <w:rsid w:val="000B7DB5"/>
    <w:rsid w:val="000C1D18"/>
    <w:rsid w:val="000C2D4A"/>
    <w:rsid w:val="000C62E8"/>
    <w:rsid w:val="000D5560"/>
    <w:rsid w:val="000D5C49"/>
    <w:rsid w:val="000D7112"/>
    <w:rsid w:val="000E24B4"/>
    <w:rsid w:val="000E4DAD"/>
    <w:rsid w:val="000E5A9F"/>
    <w:rsid w:val="000E74D0"/>
    <w:rsid w:val="000F25B5"/>
    <w:rsid w:val="000F3EFF"/>
    <w:rsid w:val="000F76DD"/>
    <w:rsid w:val="00103C0E"/>
    <w:rsid w:val="001050CA"/>
    <w:rsid w:val="001103F9"/>
    <w:rsid w:val="00111286"/>
    <w:rsid w:val="001126BA"/>
    <w:rsid w:val="00120D1B"/>
    <w:rsid w:val="00122A3A"/>
    <w:rsid w:val="00122CF3"/>
    <w:rsid w:val="00123F82"/>
    <w:rsid w:val="00125D56"/>
    <w:rsid w:val="00125E71"/>
    <w:rsid w:val="0013148C"/>
    <w:rsid w:val="001342B1"/>
    <w:rsid w:val="00137624"/>
    <w:rsid w:val="00140550"/>
    <w:rsid w:val="001416C0"/>
    <w:rsid w:val="001417C3"/>
    <w:rsid w:val="00146EE6"/>
    <w:rsid w:val="001479CA"/>
    <w:rsid w:val="00152C2D"/>
    <w:rsid w:val="00153B81"/>
    <w:rsid w:val="00156621"/>
    <w:rsid w:val="001611F9"/>
    <w:rsid w:val="001660DD"/>
    <w:rsid w:val="001701D4"/>
    <w:rsid w:val="00171D51"/>
    <w:rsid w:val="00173941"/>
    <w:rsid w:val="00174346"/>
    <w:rsid w:val="00175449"/>
    <w:rsid w:val="00187C58"/>
    <w:rsid w:val="00191FB1"/>
    <w:rsid w:val="0019365B"/>
    <w:rsid w:val="001A062F"/>
    <w:rsid w:val="001A0B43"/>
    <w:rsid w:val="001A2431"/>
    <w:rsid w:val="001A3D9B"/>
    <w:rsid w:val="001A43B8"/>
    <w:rsid w:val="001A458A"/>
    <w:rsid w:val="001A50FD"/>
    <w:rsid w:val="001A5602"/>
    <w:rsid w:val="001B13DE"/>
    <w:rsid w:val="001B4900"/>
    <w:rsid w:val="001B66ED"/>
    <w:rsid w:val="001C00E8"/>
    <w:rsid w:val="001C1947"/>
    <w:rsid w:val="001C2064"/>
    <w:rsid w:val="001C2601"/>
    <w:rsid w:val="001C2B2B"/>
    <w:rsid w:val="001C527D"/>
    <w:rsid w:val="001C5F83"/>
    <w:rsid w:val="001C7491"/>
    <w:rsid w:val="001C751A"/>
    <w:rsid w:val="001D3EC4"/>
    <w:rsid w:val="001D4BF1"/>
    <w:rsid w:val="001E0192"/>
    <w:rsid w:val="001E06E5"/>
    <w:rsid w:val="001E4ECB"/>
    <w:rsid w:val="001E635B"/>
    <w:rsid w:val="001E690C"/>
    <w:rsid w:val="001F3417"/>
    <w:rsid w:val="001F57BA"/>
    <w:rsid w:val="001F7FDA"/>
    <w:rsid w:val="00203931"/>
    <w:rsid w:val="0020745C"/>
    <w:rsid w:val="00210A7E"/>
    <w:rsid w:val="00223935"/>
    <w:rsid w:val="00223995"/>
    <w:rsid w:val="002260E1"/>
    <w:rsid w:val="00230A9D"/>
    <w:rsid w:val="002310F7"/>
    <w:rsid w:val="00233F1B"/>
    <w:rsid w:val="00234A84"/>
    <w:rsid w:val="00236232"/>
    <w:rsid w:val="00243A9C"/>
    <w:rsid w:val="00243E74"/>
    <w:rsid w:val="00244604"/>
    <w:rsid w:val="00251898"/>
    <w:rsid w:val="002601CD"/>
    <w:rsid w:val="002604E2"/>
    <w:rsid w:val="002606E8"/>
    <w:rsid w:val="0026156D"/>
    <w:rsid w:val="00270A40"/>
    <w:rsid w:val="00272736"/>
    <w:rsid w:val="0027362E"/>
    <w:rsid w:val="00273858"/>
    <w:rsid w:val="00275FA8"/>
    <w:rsid w:val="00277EF1"/>
    <w:rsid w:val="00282BDA"/>
    <w:rsid w:val="00282C18"/>
    <w:rsid w:val="00283511"/>
    <w:rsid w:val="00286285"/>
    <w:rsid w:val="0029368E"/>
    <w:rsid w:val="00293B68"/>
    <w:rsid w:val="0029533C"/>
    <w:rsid w:val="002A0163"/>
    <w:rsid w:val="002A2507"/>
    <w:rsid w:val="002A3DCE"/>
    <w:rsid w:val="002A4D52"/>
    <w:rsid w:val="002A55E0"/>
    <w:rsid w:val="002A6653"/>
    <w:rsid w:val="002C01B7"/>
    <w:rsid w:val="002C03CE"/>
    <w:rsid w:val="002C2D7E"/>
    <w:rsid w:val="002C62F7"/>
    <w:rsid w:val="002D232C"/>
    <w:rsid w:val="002D4B74"/>
    <w:rsid w:val="002E03D9"/>
    <w:rsid w:val="002E1FE0"/>
    <w:rsid w:val="002F066A"/>
    <w:rsid w:val="002F34EB"/>
    <w:rsid w:val="002F447C"/>
    <w:rsid w:val="002F5C0F"/>
    <w:rsid w:val="003005D6"/>
    <w:rsid w:val="00300739"/>
    <w:rsid w:val="00301471"/>
    <w:rsid w:val="00301D09"/>
    <w:rsid w:val="00302A5D"/>
    <w:rsid w:val="0030639B"/>
    <w:rsid w:val="003064CE"/>
    <w:rsid w:val="00312AD6"/>
    <w:rsid w:val="00313E2A"/>
    <w:rsid w:val="00316D21"/>
    <w:rsid w:val="00323DE8"/>
    <w:rsid w:val="00325949"/>
    <w:rsid w:val="0032595C"/>
    <w:rsid w:val="00325F6B"/>
    <w:rsid w:val="0032766D"/>
    <w:rsid w:val="00334C58"/>
    <w:rsid w:val="00336503"/>
    <w:rsid w:val="003430FD"/>
    <w:rsid w:val="003525DF"/>
    <w:rsid w:val="003526DB"/>
    <w:rsid w:val="003540C2"/>
    <w:rsid w:val="00355205"/>
    <w:rsid w:val="003612F8"/>
    <w:rsid w:val="003621AC"/>
    <w:rsid w:val="003622C9"/>
    <w:rsid w:val="0036271E"/>
    <w:rsid w:val="00366206"/>
    <w:rsid w:val="0037227D"/>
    <w:rsid w:val="00375A82"/>
    <w:rsid w:val="00382AF4"/>
    <w:rsid w:val="00382E51"/>
    <w:rsid w:val="00384F13"/>
    <w:rsid w:val="0038509F"/>
    <w:rsid w:val="0038557D"/>
    <w:rsid w:val="00391433"/>
    <w:rsid w:val="003918D5"/>
    <w:rsid w:val="00392BED"/>
    <w:rsid w:val="00394567"/>
    <w:rsid w:val="003957F3"/>
    <w:rsid w:val="003A2F08"/>
    <w:rsid w:val="003A3DDF"/>
    <w:rsid w:val="003A5EC5"/>
    <w:rsid w:val="003A64DC"/>
    <w:rsid w:val="003B3680"/>
    <w:rsid w:val="003B6B53"/>
    <w:rsid w:val="003C0B6A"/>
    <w:rsid w:val="003C349F"/>
    <w:rsid w:val="003C3E5B"/>
    <w:rsid w:val="003C6E32"/>
    <w:rsid w:val="003D0EE7"/>
    <w:rsid w:val="003D411D"/>
    <w:rsid w:val="003D5B68"/>
    <w:rsid w:val="003E3E58"/>
    <w:rsid w:val="003E461C"/>
    <w:rsid w:val="003E72A4"/>
    <w:rsid w:val="003F0F7E"/>
    <w:rsid w:val="003F7FD6"/>
    <w:rsid w:val="004031DE"/>
    <w:rsid w:val="004042DB"/>
    <w:rsid w:val="00405693"/>
    <w:rsid w:val="00407729"/>
    <w:rsid w:val="004121F7"/>
    <w:rsid w:val="00412F50"/>
    <w:rsid w:val="004133DF"/>
    <w:rsid w:val="004212CF"/>
    <w:rsid w:val="00422471"/>
    <w:rsid w:val="004234A8"/>
    <w:rsid w:val="004258B0"/>
    <w:rsid w:val="004259A3"/>
    <w:rsid w:val="00426CDD"/>
    <w:rsid w:val="00432F10"/>
    <w:rsid w:val="004339FB"/>
    <w:rsid w:val="00433F16"/>
    <w:rsid w:val="0044006D"/>
    <w:rsid w:val="00442E06"/>
    <w:rsid w:val="00443929"/>
    <w:rsid w:val="00443A3D"/>
    <w:rsid w:val="00447256"/>
    <w:rsid w:val="004477D5"/>
    <w:rsid w:val="00457CDC"/>
    <w:rsid w:val="004624C8"/>
    <w:rsid w:val="00463F59"/>
    <w:rsid w:val="00471922"/>
    <w:rsid w:val="00472EE1"/>
    <w:rsid w:val="00474AF7"/>
    <w:rsid w:val="00475126"/>
    <w:rsid w:val="00482AA0"/>
    <w:rsid w:val="0048373D"/>
    <w:rsid w:val="00485096"/>
    <w:rsid w:val="00487342"/>
    <w:rsid w:val="00496AC2"/>
    <w:rsid w:val="004A001D"/>
    <w:rsid w:val="004A129E"/>
    <w:rsid w:val="004B25CF"/>
    <w:rsid w:val="004B2AB9"/>
    <w:rsid w:val="004B3357"/>
    <w:rsid w:val="004B517E"/>
    <w:rsid w:val="004B5640"/>
    <w:rsid w:val="004B668B"/>
    <w:rsid w:val="004B6CB6"/>
    <w:rsid w:val="004B78E4"/>
    <w:rsid w:val="004B7AD8"/>
    <w:rsid w:val="004C0306"/>
    <w:rsid w:val="004C0FE9"/>
    <w:rsid w:val="004C22A8"/>
    <w:rsid w:val="004C34A7"/>
    <w:rsid w:val="004C35E0"/>
    <w:rsid w:val="004C5B72"/>
    <w:rsid w:val="004D0767"/>
    <w:rsid w:val="004D36F6"/>
    <w:rsid w:val="004D4128"/>
    <w:rsid w:val="004E6628"/>
    <w:rsid w:val="004E772B"/>
    <w:rsid w:val="004F04BC"/>
    <w:rsid w:val="004F1825"/>
    <w:rsid w:val="004F6D94"/>
    <w:rsid w:val="00500519"/>
    <w:rsid w:val="005005B9"/>
    <w:rsid w:val="00501557"/>
    <w:rsid w:val="00504DC4"/>
    <w:rsid w:val="00505EB8"/>
    <w:rsid w:val="00507BB7"/>
    <w:rsid w:val="00510D19"/>
    <w:rsid w:val="005122AB"/>
    <w:rsid w:val="005128C8"/>
    <w:rsid w:val="00512FA5"/>
    <w:rsid w:val="00513227"/>
    <w:rsid w:val="005132BF"/>
    <w:rsid w:val="00513451"/>
    <w:rsid w:val="005156B6"/>
    <w:rsid w:val="00516A65"/>
    <w:rsid w:val="005212B0"/>
    <w:rsid w:val="00531514"/>
    <w:rsid w:val="00531CF0"/>
    <w:rsid w:val="00534B89"/>
    <w:rsid w:val="00535DEA"/>
    <w:rsid w:val="0053790C"/>
    <w:rsid w:val="00542974"/>
    <w:rsid w:val="0054652C"/>
    <w:rsid w:val="00556401"/>
    <w:rsid w:val="0056042E"/>
    <w:rsid w:val="0056049D"/>
    <w:rsid w:val="005614C0"/>
    <w:rsid w:val="005628C1"/>
    <w:rsid w:val="00562BB3"/>
    <w:rsid w:val="0056393A"/>
    <w:rsid w:val="005642CC"/>
    <w:rsid w:val="00566465"/>
    <w:rsid w:val="00571930"/>
    <w:rsid w:val="00573311"/>
    <w:rsid w:val="00574370"/>
    <w:rsid w:val="00580018"/>
    <w:rsid w:val="00581A6C"/>
    <w:rsid w:val="00582685"/>
    <w:rsid w:val="005850F9"/>
    <w:rsid w:val="00585845"/>
    <w:rsid w:val="005859F2"/>
    <w:rsid w:val="00597B73"/>
    <w:rsid w:val="00597BD2"/>
    <w:rsid w:val="005B23BE"/>
    <w:rsid w:val="005B2B89"/>
    <w:rsid w:val="005B3BE5"/>
    <w:rsid w:val="005B4417"/>
    <w:rsid w:val="005C7A3C"/>
    <w:rsid w:val="005D487C"/>
    <w:rsid w:val="005E06BB"/>
    <w:rsid w:val="005E0A04"/>
    <w:rsid w:val="005E162F"/>
    <w:rsid w:val="005E1C1A"/>
    <w:rsid w:val="005E30C4"/>
    <w:rsid w:val="005E3D9B"/>
    <w:rsid w:val="005E6371"/>
    <w:rsid w:val="005F1F14"/>
    <w:rsid w:val="00603633"/>
    <w:rsid w:val="006039CE"/>
    <w:rsid w:val="00614FB2"/>
    <w:rsid w:val="006177CC"/>
    <w:rsid w:val="006211B4"/>
    <w:rsid w:val="0062182A"/>
    <w:rsid w:val="00634FD9"/>
    <w:rsid w:val="00635436"/>
    <w:rsid w:val="00635750"/>
    <w:rsid w:val="00635DBA"/>
    <w:rsid w:val="00641FA2"/>
    <w:rsid w:val="006428B4"/>
    <w:rsid w:val="00642DEB"/>
    <w:rsid w:val="006461DE"/>
    <w:rsid w:val="0064748D"/>
    <w:rsid w:val="00650EF4"/>
    <w:rsid w:val="006526AF"/>
    <w:rsid w:val="00653AE6"/>
    <w:rsid w:val="006550E1"/>
    <w:rsid w:val="0065629D"/>
    <w:rsid w:val="006565DD"/>
    <w:rsid w:val="006574F6"/>
    <w:rsid w:val="00657631"/>
    <w:rsid w:val="00661901"/>
    <w:rsid w:val="00665D6C"/>
    <w:rsid w:val="006674EF"/>
    <w:rsid w:val="006706CC"/>
    <w:rsid w:val="00671D4C"/>
    <w:rsid w:val="0067293D"/>
    <w:rsid w:val="0067319A"/>
    <w:rsid w:val="00673EF5"/>
    <w:rsid w:val="0067477E"/>
    <w:rsid w:val="00675CCE"/>
    <w:rsid w:val="00677EDE"/>
    <w:rsid w:val="00681DFF"/>
    <w:rsid w:val="00682FE0"/>
    <w:rsid w:val="00683631"/>
    <w:rsid w:val="00683D8E"/>
    <w:rsid w:val="006900F8"/>
    <w:rsid w:val="00691FA6"/>
    <w:rsid w:val="0069766F"/>
    <w:rsid w:val="00697A8B"/>
    <w:rsid w:val="006A0249"/>
    <w:rsid w:val="006A2DAE"/>
    <w:rsid w:val="006A33BB"/>
    <w:rsid w:val="006A5550"/>
    <w:rsid w:val="006A5819"/>
    <w:rsid w:val="006B0B0A"/>
    <w:rsid w:val="006B7377"/>
    <w:rsid w:val="006B7ED0"/>
    <w:rsid w:val="006B7ED2"/>
    <w:rsid w:val="006C70C3"/>
    <w:rsid w:val="006D151D"/>
    <w:rsid w:val="006D74C1"/>
    <w:rsid w:val="006E6FA1"/>
    <w:rsid w:val="006E7A97"/>
    <w:rsid w:val="006E7FBD"/>
    <w:rsid w:val="006F1CE6"/>
    <w:rsid w:val="006F390E"/>
    <w:rsid w:val="00700726"/>
    <w:rsid w:val="007007BA"/>
    <w:rsid w:val="00701BBE"/>
    <w:rsid w:val="0070359F"/>
    <w:rsid w:val="0070376F"/>
    <w:rsid w:val="00704C9C"/>
    <w:rsid w:val="007050A5"/>
    <w:rsid w:val="00706555"/>
    <w:rsid w:val="007105E9"/>
    <w:rsid w:val="00713507"/>
    <w:rsid w:val="00715F59"/>
    <w:rsid w:val="00723F31"/>
    <w:rsid w:val="007318E3"/>
    <w:rsid w:val="007451A2"/>
    <w:rsid w:val="00745B45"/>
    <w:rsid w:val="00745F04"/>
    <w:rsid w:val="00745F2C"/>
    <w:rsid w:val="00751DB7"/>
    <w:rsid w:val="00752231"/>
    <w:rsid w:val="0075299D"/>
    <w:rsid w:val="00754292"/>
    <w:rsid w:val="00754F56"/>
    <w:rsid w:val="00761F27"/>
    <w:rsid w:val="007624A6"/>
    <w:rsid w:val="00765D47"/>
    <w:rsid w:val="00767DE6"/>
    <w:rsid w:val="0077088C"/>
    <w:rsid w:val="00771B55"/>
    <w:rsid w:val="007732F8"/>
    <w:rsid w:val="007737B6"/>
    <w:rsid w:val="00774616"/>
    <w:rsid w:val="0077529D"/>
    <w:rsid w:val="007872FD"/>
    <w:rsid w:val="007905AD"/>
    <w:rsid w:val="00791C19"/>
    <w:rsid w:val="00793151"/>
    <w:rsid w:val="0079418D"/>
    <w:rsid w:val="00794DF5"/>
    <w:rsid w:val="007A382C"/>
    <w:rsid w:val="007B0630"/>
    <w:rsid w:val="007B0C63"/>
    <w:rsid w:val="007B197A"/>
    <w:rsid w:val="007B2E61"/>
    <w:rsid w:val="007B49C0"/>
    <w:rsid w:val="007B4C08"/>
    <w:rsid w:val="007B4D45"/>
    <w:rsid w:val="007B5B26"/>
    <w:rsid w:val="007B7A5E"/>
    <w:rsid w:val="007C0129"/>
    <w:rsid w:val="007C0332"/>
    <w:rsid w:val="007C0F16"/>
    <w:rsid w:val="007C4ACF"/>
    <w:rsid w:val="007C4CED"/>
    <w:rsid w:val="007C4F50"/>
    <w:rsid w:val="007D0F55"/>
    <w:rsid w:val="007D21AF"/>
    <w:rsid w:val="007D492C"/>
    <w:rsid w:val="007D4DDB"/>
    <w:rsid w:val="007D591B"/>
    <w:rsid w:val="007D7068"/>
    <w:rsid w:val="007E1FD7"/>
    <w:rsid w:val="007E2111"/>
    <w:rsid w:val="007E3925"/>
    <w:rsid w:val="007E63DA"/>
    <w:rsid w:val="007F1D2F"/>
    <w:rsid w:val="007F4F5C"/>
    <w:rsid w:val="008015AB"/>
    <w:rsid w:val="00801B14"/>
    <w:rsid w:val="008050DF"/>
    <w:rsid w:val="0080586A"/>
    <w:rsid w:val="008104D3"/>
    <w:rsid w:val="00810A22"/>
    <w:rsid w:val="0081215E"/>
    <w:rsid w:val="008123DB"/>
    <w:rsid w:val="00815899"/>
    <w:rsid w:val="00816E1B"/>
    <w:rsid w:val="00823527"/>
    <w:rsid w:val="00830ABA"/>
    <w:rsid w:val="0083576C"/>
    <w:rsid w:val="008408A9"/>
    <w:rsid w:val="0084198A"/>
    <w:rsid w:val="00847EFB"/>
    <w:rsid w:val="0085286C"/>
    <w:rsid w:val="00853079"/>
    <w:rsid w:val="008533A6"/>
    <w:rsid w:val="008544A0"/>
    <w:rsid w:val="00855F80"/>
    <w:rsid w:val="00856F69"/>
    <w:rsid w:val="00861F79"/>
    <w:rsid w:val="0086608C"/>
    <w:rsid w:val="00866236"/>
    <w:rsid w:val="00870778"/>
    <w:rsid w:val="008810A2"/>
    <w:rsid w:val="00881296"/>
    <w:rsid w:val="0088730D"/>
    <w:rsid w:val="00892596"/>
    <w:rsid w:val="008A0C32"/>
    <w:rsid w:val="008A1FE5"/>
    <w:rsid w:val="008A2AC5"/>
    <w:rsid w:val="008A2E45"/>
    <w:rsid w:val="008A3E37"/>
    <w:rsid w:val="008A3E61"/>
    <w:rsid w:val="008A4DFA"/>
    <w:rsid w:val="008A57B8"/>
    <w:rsid w:val="008A5B32"/>
    <w:rsid w:val="008A5C13"/>
    <w:rsid w:val="008A6CD2"/>
    <w:rsid w:val="008B05CF"/>
    <w:rsid w:val="008B2171"/>
    <w:rsid w:val="008B254E"/>
    <w:rsid w:val="008B4205"/>
    <w:rsid w:val="008B4B9E"/>
    <w:rsid w:val="008C0004"/>
    <w:rsid w:val="008C3198"/>
    <w:rsid w:val="008C4113"/>
    <w:rsid w:val="008C4D86"/>
    <w:rsid w:val="008C71FC"/>
    <w:rsid w:val="008D03B5"/>
    <w:rsid w:val="008D4AD2"/>
    <w:rsid w:val="008E0E16"/>
    <w:rsid w:val="008E2294"/>
    <w:rsid w:val="008E28A0"/>
    <w:rsid w:val="008E2EBD"/>
    <w:rsid w:val="008E36A8"/>
    <w:rsid w:val="008E56C5"/>
    <w:rsid w:val="008E5A59"/>
    <w:rsid w:val="008E70FA"/>
    <w:rsid w:val="008F00FA"/>
    <w:rsid w:val="008F64B0"/>
    <w:rsid w:val="008F7B8C"/>
    <w:rsid w:val="0090085B"/>
    <w:rsid w:val="00900A08"/>
    <w:rsid w:val="00903F09"/>
    <w:rsid w:val="00904457"/>
    <w:rsid w:val="00904DE8"/>
    <w:rsid w:val="0091331D"/>
    <w:rsid w:val="00920AFC"/>
    <w:rsid w:val="00920F3B"/>
    <w:rsid w:val="00921D6C"/>
    <w:rsid w:val="00921DB2"/>
    <w:rsid w:val="00923F19"/>
    <w:rsid w:val="00925430"/>
    <w:rsid w:val="00925E49"/>
    <w:rsid w:val="009365AB"/>
    <w:rsid w:val="00941B9F"/>
    <w:rsid w:val="00941E1A"/>
    <w:rsid w:val="00946B28"/>
    <w:rsid w:val="00947EFE"/>
    <w:rsid w:val="00951ED7"/>
    <w:rsid w:val="00952C7B"/>
    <w:rsid w:val="009533D7"/>
    <w:rsid w:val="00953DE1"/>
    <w:rsid w:val="009576EF"/>
    <w:rsid w:val="00957E07"/>
    <w:rsid w:val="0096789C"/>
    <w:rsid w:val="00982572"/>
    <w:rsid w:val="00982BC8"/>
    <w:rsid w:val="009831CE"/>
    <w:rsid w:val="00985387"/>
    <w:rsid w:val="00992CB9"/>
    <w:rsid w:val="00994FF8"/>
    <w:rsid w:val="0099673E"/>
    <w:rsid w:val="0099753C"/>
    <w:rsid w:val="009A09B4"/>
    <w:rsid w:val="009A31D3"/>
    <w:rsid w:val="009A693A"/>
    <w:rsid w:val="009A7BF7"/>
    <w:rsid w:val="009A7FF2"/>
    <w:rsid w:val="009B20ED"/>
    <w:rsid w:val="009B3062"/>
    <w:rsid w:val="009C4A57"/>
    <w:rsid w:val="009C5905"/>
    <w:rsid w:val="009C62DA"/>
    <w:rsid w:val="009C649A"/>
    <w:rsid w:val="009C7C82"/>
    <w:rsid w:val="009D122C"/>
    <w:rsid w:val="009D59FD"/>
    <w:rsid w:val="009D7428"/>
    <w:rsid w:val="009E6B12"/>
    <w:rsid w:val="009E7724"/>
    <w:rsid w:val="009F1091"/>
    <w:rsid w:val="009F10C1"/>
    <w:rsid w:val="009F1D2D"/>
    <w:rsid w:val="009F5712"/>
    <w:rsid w:val="009F6548"/>
    <w:rsid w:val="009F6E79"/>
    <w:rsid w:val="00A00DAF"/>
    <w:rsid w:val="00A04A39"/>
    <w:rsid w:val="00A054F0"/>
    <w:rsid w:val="00A11632"/>
    <w:rsid w:val="00A11EE0"/>
    <w:rsid w:val="00A161AA"/>
    <w:rsid w:val="00A16EF1"/>
    <w:rsid w:val="00A20A2E"/>
    <w:rsid w:val="00A21DD3"/>
    <w:rsid w:val="00A21F4D"/>
    <w:rsid w:val="00A220FA"/>
    <w:rsid w:val="00A22373"/>
    <w:rsid w:val="00A26FA5"/>
    <w:rsid w:val="00A27846"/>
    <w:rsid w:val="00A322CE"/>
    <w:rsid w:val="00A332B8"/>
    <w:rsid w:val="00A33E7D"/>
    <w:rsid w:val="00A35203"/>
    <w:rsid w:val="00A43F60"/>
    <w:rsid w:val="00A45FC0"/>
    <w:rsid w:val="00A5004A"/>
    <w:rsid w:val="00A518AF"/>
    <w:rsid w:val="00A55B69"/>
    <w:rsid w:val="00A60B13"/>
    <w:rsid w:val="00A60CA1"/>
    <w:rsid w:val="00A6136B"/>
    <w:rsid w:val="00A634EF"/>
    <w:rsid w:val="00A643C1"/>
    <w:rsid w:val="00A64822"/>
    <w:rsid w:val="00A64A73"/>
    <w:rsid w:val="00A670F0"/>
    <w:rsid w:val="00A745ED"/>
    <w:rsid w:val="00A7531B"/>
    <w:rsid w:val="00A759DE"/>
    <w:rsid w:val="00A774ED"/>
    <w:rsid w:val="00A77F8B"/>
    <w:rsid w:val="00A81765"/>
    <w:rsid w:val="00A83160"/>
    <w:rsid w:val="00A856A7"/>
    <w:rsid w:val="00A926BF"/>
    <w:rsid w:val="00A9498F"/>
    <w:rsid w:val="00A9553A"/>
    <w:rsid w:val="00A95ACF"/>
    <w:rsid w:val="00A97432"/>
    <w:rsid w:val="00AA0058"/>
    <w:rsid w:val="00AA039E"/>
    <w:rsid w:val="00AA0F1C"/>
    <w:rsid w:val="00AA1609"/>
    <w:rsid w:val="00AA21C3"/>
    <w:rsid w:val="00AA4101"/>
    <w:rsid w:val="00AA72AC"/>
    <w:rsid w:val="00AB2CA9"/>
    <w:rsid w:val="00AB2F44"/>
    <w:rsid w:val="00AC15AA"/>
    <w:rsid w:val="00AC1F10"/>
    <w:rsid w:val="00AC4BD0"/>
    <w:rsid w:val="00AC52E8"/>
    <w:rsid w:val="00AC5CB3"/>
    <w:rsid w:val="00AC6024"/>
    <w:rsid w:val="00AC74E7"/>
    <w:rsid w:val="00AD0174"/>
    <w:rsid w:val="00AD4557"/>
    <w:rsid w:val="00AD5677"/>
    <w:rsid w:val="00AD67B3"/>
    <w:rsid w:val="00AF07BE"/>
    <w:rsid w:val="00AF4E96"/>
    <w:rsid w:val="00AF62A0"/>
    <w:rsid w:val="00B0231A"/>
    <w:rsid w:val="00B02D36"/>
    <w:rsid w:val="00B04FEA"/>
    <w:rsid w:val="00B11725"/>
    <w:rsid w:val="00B1679C"/>
    <w:rsid w:val="00B21B81"/>
    <w:rsid w:val="00B231A1"/>
    <w:rsid w:val="00B24B0E"/>
    <w:rsid w:val="00B277A5"/>
    <w:rsid w:val="00B3023D"/>
    <w:rsid w:val="00B318C6"/>
    <w:rsid w:val="00B31EA5"/>
    <w:rsid w:val="00B3233B"/>
    <w:rsid w:val="00B34D15"/>
    <w:rsid w:val="00B35333"/>
    <w:rsid w:val="00B35908"/>
    <w:rsid w:val="00B35EA6"/>
    <w:rsid w:val="00B37BF2"/>
    <w:rsid w:val="00B44DBB"/>
    <w:rsid w:val="00B45231"/>
    <w:rsid w:val="00B4584E"/>
    <w:rsid w:val="00B472B5"/>
    <w:rsid w:val="00B52138"/>
    <w:rsid w:val="00B528A5"/>
    <w:rsid w:val="00B5355C"/>
    <w:rsid w:val="00B54019"/>
    <w:rsid w:val="00B54BF3"/>
    <w:rsid w:val="00B55BC1"/>
    <w:rsid w:val="00B57BF5"/>
    <w:rsid w:val="00B60274"/>
    <w:rsid w:val="00B61050"/>
    <w:rsid w:val="00B63F57"/>
    <w:rsid w:val="00B674E8"/>
    <w:rsid w:val="00B67BE8"/>
    <w:rsid w:val="00B70204"/>
    <w:rsid w:val="00B70310"/>
    <w:rsid w:val="00B73F6E"/>
    <w:rsid w:val="00B75111"/>
    <w:rsid w:val="00B7791D"/>
    <w:rsid w:val="00B8599F"/>
    <w:rsid w:val="00B90C69"/>
    <w:rsid w:val="00B940BB"/>
    <w:rsid w:val="00BA27E7"/>
    <w:rsid w:val="00BA52A0"/>
    <w:rsid w:val="00BA54CD"/>
    <w:rsid w:val="00BA5648"/>
    <w:rsid w:val="00BA79DB"/>
    <w:rsid w:val="00BB14C8"/>
    <w:rsid w:val="00BB490C"/>
    <w:rsid w:val="00BB7EF6"/>
    <w:rsid w:val="00BC0A2A"/>
    <w:rsid w:val="00BC1DEB"/>
    <w:rsid w:val="00BC3CA3"/>
    <w:rsid w:val="00BC7B8B"/>
    <w:rsid w:val="00BC7FAB"/>
    <w:rsid w:val="00BD5945"/>
    <w:rsid w:val="00BD6A83"/>
    <w:rsid w:val="00BE09AB"/>
    <w:rsid w:val="00BE14EF"/>
    <w:rsid w:val="00BE26A1"/>
    <w:rsid w:val="00BE4D65"/>
    <w:rsid w:val="00BE5985"/>
    <w:rsid w:val="00BF3075"/>
    <w:rsid w:val="00C001E2"/>
    <w:rsid w:val="00C01849"/>
    <w:rsid w:val="00C03DC3"/>
    <w:rsid w:val="00C0468B"/>
    <w:rsid w:val="00C046E3"/>
    <w:rsid w:val="00C129E3"/>
    <w:rsid w:val="00C14134"/>
    <w:rsid w:val="00C201DD"/>
    <w:rsid w:val="00C24419"/>
    <w:rsid w:val="00C3329A"/>
    <w:rsid w:val="00C37BEF"/>
    <w:rsid w:val="00C451E5"/>
    <w:rsid w:val="00C502CF"/>
    <w:rsid w:val="00C518CB"/>
    <w:rsid w:val="00C5376B"/>
    <w:rsid w:val="00C57034"/>
    <w:rsid w:val="00C57320"/>
    <w:rsid w:val="00C62EDE"/>
    <w:rsid w:val="00C635CE"/>
    <w:rsid w:val="00C64A99"/>
    <w:rsid w:val="00C65B72"/>
    <w:rsid w:val="00C67B72"/>
    <w:rsid w:val="00C727B2"/>
    <w:rsid w:val="00C74857"/>
    <w:rsid w:val="00C76306"/>
    <w:rsid w:val="00C82DD4"/>
    <w:rsid w:val="00C83D1E"/>
    <w:rsid w:val="00C84D95"/>
    <w:rsid w:val="00C8513E"/>
    <w:rsid w:val="00C95F01"/>
    <w:rsid w:val="00C97C1E"/>
    <w:rsid w:val="00CA0BB0"/>
    <w:rsid w:val="00CA377E"/>
    <w:rsid w:val="00CA5A89"/>
    <w:rsid w:val="00CB0C35"/>
    <w:rsid w:val="00CB2817"/>
    <w:rsid w:val="00CB51FE"/>
    <w:rsid w:val="00CC078B"/>
    <w:rsid w:val="00CC2CDF"/>
    <w:rsid w:val="00CC57D2"/>
    <w:rsid w:val="00CC7E22"/>
    <w:rsid w:val="00CC7F4A"/>
    <w:rsid w:val="00CD0D1E"/>
    <w:rsid w:val="00CD3EFA"/>
    <w:rsid w:val="00CD50A3"/>
    <w:rsid w:val="00CE1D37"/>
    <w:rsid w:val="00CE3EF3"/>
    <w:rsid w:val="00CE4586"/>
    <w:rsid w:val="00CE66DA"/>
    <w:rsid w:val="00CF1CB0"/>
    <w:rsid w:val="00CF3372"/>
    <w:rsid w:val="00CF40C7"/>
    <w:rsid w:val="00CF672A"/>
    <w:rsid w:val="00D03956"/>
    <w:rsid w:val="00D044E0"/>
    <w:rsid w:val="00D164FA"/>
    <w:rsid w:val="00D233C4"/>
    <w:rsid w:val="00D23477"/>
    <w:rsid w:val="00D2368C"/>
    <w:rsid w:val="00D267E4"/>
    <w:rsid w:val="00D3054F"/>
    <w:rsid w:val="00D34453"/>
    <w:rsid w:val="00D34F42"/>
    <w:rsid w:val="00D406E8"/>
    <w:rsid w:val="00D4225E"/>
    <w:rsid w:val="00D44E45"/>
    <w:rsid w:val="00D4782F"/>
    <w:rsid w:val="00D54C8B"/>
    <w:rsid w:val="00D61965"/>
    <w:rsid w:val="00D70C0D"/>
    <w:rsid w:val="00D71B34"/>
    <w:rsid w:val="00D72A17"/>
    <w:rsid w:val="00D76324"/>
    <w:rsid w:val="00D80D38"/>
    <w:rsid w:val="00D852CE"/>
    <w:rsid w:val="00D91AE2"/>
    <w:rsid w:val="00D93AE6"/>
    <w:rsid w:val="00D93BF5"/>
    <w:rsid w:val="00D96B64"/>
    <w:rsid w:val="00DA26ED"/>
    <w:rsid w:val="00DA4DD7"/>
    <w:rsid w:val="00DA4E7C"/>
    <w:rsid w:val="00DA625A"/>
    <w:rsid w:val="00DB4F0C"/>
    <w:rsid w:val="00DB7770"/>
    <w:rsid w:val="00DC1488"/>
    <w:rsid w:val="00DD131A"/>
    <w:rsid w:val="00DE2EDC"/>
    <w:rsid w:val="00DE3CBB"/>
    <w:rsid w:val="00DE73CE"/>
    <w:rsid w:val="00DF4562"/>
    <w:rsid w:val="00DF4EAB"/>
    <w:rsid w:val="00DF505F"/>
    <w:rsid w:val="00DF5796"/>
    <w:rsid w:val="00DF66A1"/>
    <w:rsid w:val="00DF757E"/>
    <w:rsid w:val="00E0000D"/>
    <w:rsid w:val="00E00F81"/>
    <w:rsid w:val="00E0170D"/>
    <w:rsid w:val="00E04CDC"/>
    <w:rsid w:val="00E105DC"/>
    <w:rsid w:val="00E13405"/>
    <w:rsid w:val="00E161C2"/>
    <w:rsid w:val="00E172D4"/>
    <w:rsid w:val="00E2659B"/>
    <w:rsid w:val="00E27C33"/>
    <w:rsid w:val="00E31289"/>
    <w:rsid w:val="00E3365B"/>
    <w:rsid w:val="00E3790F"/>
    <w:rsid w:val="00E37FC0"/>
    <w:rsid w:val="00E434EC"/>
    <w:rsid w:val="00E443A3"/>
    <w:rsid w:val="00E4587B"/>
    <w:rsid w:val="00E465C5"/>
    <w:rsid w:val="00E51F3B"/>
    <w:rsid w:val="00E53D35"/>
    <w:rsid w:val="00E54EC3"/>
    <w:rsid w:val="00E607B0"/>
    <w:rsid w:val="00E63331"/>
    <w:rsid w:val="00E63F81"/>
    <w:rsid w:val="00E64742"/>
    <w:rsid w:val="00E64D4E"/>
    <w:rsid w:val="00E65CE6"/>
    <w:rsid w:val="00E67992"/>
    <w:rsid w:val="00E7052F"/>
    <w:rsid w:val="00E709A3"/>
    <w:rsid w:val="00E72A15"/>
    <w:rsid w:val="00E7327E"/>
    <w:rsid w:val="00E741D4"/>
    <w:rsid w:val="00E74D98"/>
    <w:rsid w:val="00E7580D"/>
    <w:rsid w:val="00E76C11"/>
    <w:rsid w:val="00E76E74"/>
    <w:rsid w:val="00E80470"/>
    <w:rsid w:val="00E82463"/>
    <w:rsid w:val="00E82F9D"/>
    <w:rsid w:val="00E84CD9"/>
    <w:rsid w:val="00E874C0"/>
    <w:rsid w:val="00E92E13"/>
    <w:rsid w:val="00E92EE9"/>
    <w:rsid w:val="00E95FF7"/>
    <w:rsid w:val="00E96BD6"/>
    <w:rsid w:val="00EA4EF4"/>
    <w:rsid w:val="00EA5817"/>
    <w:rsid w:val="00EA5CC1"/>
    <w:rsid w:val="00EB2BA3"/>
    <w:rsid w:val="00EB3398"/>
    <w:rsid w:val="00EB3A06"/>
    <w:rsid w:val="00EB3F26"/>
    <w:rsid w:val="00EB5CCF"/>
    <w:rsid w:val="00EB75EE"/>
    <w:rsid w:val="00EC1A48"/>
    <w:rsid w:val="00EC239A"/>
    <w:rsid w:val="00EC5A45"/>
    <w:rsid w:val="00ED0ADA"/>
    <w:rsid w:val="00ED1EEA"/>
    <w:rsid w:val="00ED26EC"/>
    <w:rsid w:val="00ED4F38"/>
    <w:rsid w:val="00ED708A"/>
    <w:rsid w:val="00EE0CAE"/>
    <w:rsid w:val="00EE32D4"/>
    <w:rsid w:val="00EE3C57"/>
    <w:rsid w:val="00EE47D6"/>
    <w:rsid w:val="00EF0CA9"/>
    <w:rsid w:val="00EF26E2"/>
    <w:rsid w:val="00EF4C16"/>
    <w:rsid w:val="00EF6211"/>
    <w:rsid w:val="00EF7AE3"/>
    <w:rsid w:val="00F00B1B"/>
    <w:rsid w:val="00F024C5"/>
    <w:rsid w:val="00F02885"/>
    <w:rsid w:val="00F050FC"/>
    <w:rsid w:val="00F06528"/>
    <w:rsid w:val="00F07D74"/>
    <w:rsid w:val="00F1069D"/>
    <w:rsid w:val="00F152F2"/>
    <w:rsid w:val="00F163D3"/>
    <w:rsid w:val="00F17139"/>
    <w:rsid w:val="00F207C8"/>
    <w:rsid w:val="00F244B6"/>
    <w:rsid w:val="00F24CAD"/>
    <w:rsid w:val="00F25632"/>
    <w:rsid w:val="00F26463"/>
    <w:rsid w:val="00F266BC"/>
    <w:rsid w:val="00F27AE9"/>
    <w:rsid w:val="00F3448A"/>
    <w:rsid w:val="00F363E2"/>
    <w:rsid w:val="00F37D20"/>
    <w:rsid w:val="00F41D6E"/>
    <w:rsid w:val="00F42E2C"/>
    <w:rsid w:val="00F44E17"/>
    <w:rsid w:val="00F64F25"/>
    <w:rsid w:val="00F768B4"/>
    <w:rsid w:val="00F85357"/>
    <w:rsid w:val="00F90AA5"/>
    <w:rsid w:val="00F912A9"/>
    <w:rsid w:val="00F94286"/>
    <w:rsid w:val="00F9620A"/>
    <w:rsid w:val="00F96AF3"/>
    <w:rsid w:val="00F96D18"/>
    <w:rsid w:val="00FA27A4"/>
    <w:rsid w:val="00FA6739"/>
    <w:rsid w:val="00FB1D64"/>
    <w:rsid w:val="00FB55E9"/>
    <w:rsid w:val="00FB7064"/>
    <w:rsid w:val="00FC31BA"/>
    <w:rsid w:val="00FC53E2"/>
    <w:rsid w:val="00FC6EB3"/>
    <w:rsid w:val="00FD0846"/>
    <w:rsid w:val="00FD45EA"/>
    <w:rsid w:val="00FE3ECD"/>
    <w:rsid w:val="00FF11EA"/>
    <w:rsid w:val="00FF27C8"/>
    <w:rsid w:val="00FF571A"/>
    <w:rsid w:val="00FF7298"/>
    <w:rsid w:val="01255E0C"/>
    <w:rsid w:val="01AD5D85"/>
    <w:rsid w:val="05061BF7"/>
    <w:rsid w:val="083AC27F"/>
    <w:rsid w:val="09857C23"/>
    <w:rsid w:val="099BEFFE"/>
    <w:rsid w:val="09B96A54"/>
    <w:rsid w:val="0A0046DC"/>
    <w:rsid w:val="0A7866A0"/>
    <w:rsid w:val="0AD4BBE6"/>
    <w:rsid w:val="0B157959"/>
    <w:rsid w:val="0B378179"/>
    <w:rsid w:val="0CC5FF57"/>
    <w:rsid w:val="0DC4A149"/>
    <w:rsid w:val="0F7A458E"/>
    <w:rsid w:val="0FE81C9A"/>
    <w:rsid w:val="10158D5C"/>
    <w:rsid w:val="1048C45E"/>
    <w:rsid w:val="11B15DBD"/>
    <w:rsid w:val="121E301B"/>
    <w:rsid w:val="12398801"/>
    <w:rsid w:val="123EF8A7"/>
    <w:rsid w:val="12C8059D"/>
    <w:rsid w:val="131F51BA"/>
    <w:rsid w:val="13EBCC29"/>
    <w:rsid w:val="156D79B1"/>
    <w:rsid w:val="1611E11E"/>
    <w:rsid w:val="1636407F"/>
    <w:rsid w:val="1656F27C"/>
    <w:rsid w:val="1763AD9F"/>
    <w:rsid w:val="196E51A5"/>
    <w:rsid w:val="197B0697"/>
    <w:rsid w:val="1998559E"/>
    <w:rsid w:val="1C2D1286"/>
    <w:rsid w:val="1E3F1E36"/>
    <w:rsid w:val="20CAA445"/>
    <w:rsid w:val="22725C14"/>
    <w:rsid w:val="228D4A57"/>
    <w:rsid w:val="235D0E24"/>
    <w:rsid w:val="2715C822"/>
    <w:rsid w:val="2740273C"/>
    <w:rsid w:val="2899A58E"/>
    <w:rsid w:val="2A4FC2DC"/>
    <w:rsid w:val="2BB65A42"/>
    <w:rsid w:val="2CDA08E7"/>
    <w:rsid w:val="2CE44550"/>
    <w:rsid w:val="2FDACC8F"/>
    <w:rsid w:val="30985635"/>
    <w:rsid w:val="31E07270"/>
    <w:rsid w:val="327E7DF3"/>
    <w:rsid w:val="346025C7"/>
    <w:rsid w:val="34BEB0D0"/>
    <w:rsid w:val="35163831"/>
    <w:rsid w:val="358A25DB"/>
    <w:rsid w:val="3665D129"/>
    <w:rsid w:val="367CA0F1"/>
    <w:rsid w:val="36C2119A"/>
    <w:rsid w:val="384DD8F3"/>
    <w:rsid w:val="3A0CBAD3"/>
    <w:rsid w:val="3A190A5C"/>
    <w:rsid w:val="3B2C9B93"/>
    <w:rsid w:val="3B7C0BC4"/>
    <w:rsid w:val="3C385E6E"/>
    <w:rsid w:val="3CC064B1"/>
    <w:rsid w:val="3E25A58D"/>
    <w:rsid w:val="3EA5CD1B"/>
    <w:rsid w:val="3F2ADE1F"/>
    <w:rsid w:val="4068BA0E"/>
    <w:rsid w:val="42A874D3"/>
    <w:rsid w:val="435A9330"/>
    <w:rsid w:val="44061356"/>
    <w:rsid w:val="489C0418"/>
    <w:rsid w:val="492C1FE3"/>
    <w:rsid w:val="4BCDE5FD"/>
    <w:rsid w:val="4BD73B47"/>
    <w:rsid w:val="4D722B24"/>
    <w:rsid w:val="4E47C3D3"/>
    <w:rsid w:val="50FABA6B"/>
    <w:rsid w:val="51BE5566"/>
    <w:rsid w:val="531BBA8C"/>
    <w:rsid w:val="5370F033"/>
    <w:rsid w:val="5391A993"/>
    <w:rsid w:val="5395748D"/>
    <w:rsid w:val="539E024B"/>
    <w:rsid w:val="53C946C1"/>
    <w:rsid w:val="54BC5623"/>
    <w:rsid w:val="55FBDA6F"/>
    <w:rsid w:val="560C8884"/>
    <w:rsid w:val="561392AA"/>
    <w:rsid w:val="56A886A0"/>
    <w:rsid w:val="56C94A55"/>
    <w:rsid w:val="5786DA9D"/>
    <w:rsid w:val="59841D59"/>
    <w:rsid w:val="5A2816CB"/>
    <w:rsid w:val="5ABD26ED"/>
    <w:rsid w:val="5E85A939"/>
    <w:rsid w:val="5EA07008"/>
    <w:rsid w:val="5FDF0C29"/>
    <w:rsid w:val="61A8AF17"/>
    <w:rsid w:val="61E0F931"/>
    <w:rsid w:val="62EE3256"/>
    <w:rsid w:val="6333B53A"/>
    <w:rsid w:val="63541FFA"/>
    <w:rsid w:val="6384B779"/>
    <w:rsid w:val="63BAD015"/>
    <w:rsid w:val="64117B5E"/>
    <w:rsid w:val="641C7E60"/>
    <w:rsid w:val="65CB4DD6"/>
    <w:rsid w:val="68CAD726"/>
    <w:rsid w:val="6BBE97C2"/>
    <w:rsid w:val="6DE5268C"/>
    <w:rsid w:val="6F050AA0"/>
    <w:rsid w:val="6F3695AE"/>
    <w:rsid w:val="6F3E74D0"/>
    <w:rsid w:val="71098EEB"/>
    <w:rsid w:val="721B63A9"/>
    <w:rsid w:val="734EAB01"/>
    <w:rsid w:val="74401DFF"/>
    <w:rsid w:val="748870DE"/>
    <w:rsid w:val="74BE71BF"/>
    <w:rsid w:val="76FCE0AB"/>
    <w:rsid w:val="77129B6B"/>
    <w:rsid w:val="77C7B6A8"/>
    <w:rsid w:val="77F52884"/>
    <w:rsid w:val="780E534F"/>
    <w:rsid w:val="78AE6BCC"/>
    <w:rsid w:val="79250F9F"/>
    <w:rsid w:val="7A0984EE"/>
    <w:rsid w:val="7B87C035"/>
    <w:rsid w:val="7CC9A199"/>
    <w:rsid w:val="7D7E42E4"/>
    <w:rsid w:val="7FD4A064"/>
    <w:rsid w:val="7FDA6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2AA9C629-C30B-4EF0-B6A6-37E91E92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3CE"/>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character" w:styleId="Hyperlink">
    <w:name w:val="Hyperlink"/>
    <w:basedOn w:val="DefaultParagraphFont"/>
    <w:uiPriority w:val="99"/>
    <w:semiHidden/>
    <w:unhideWhenUsed/>
    <w:rsid w:val="00482AA0"/>
    <w:rPr>
      <w:color w:val="0000FF"/>
      <w:u w:val="single"/>
    </w:rPr>
  </w:style>
  <w:style w:type="paragraph" w:styleId="Revision">
    <w:name w:val="Revision"/>
    <w:hidden/>
    <w:uiPriority w:val="99"/>
    <w:semiHidden/>
    <w:rsid w:val="00EE32D4"/>
    <w:rPr>
      <w:rFonts w:ascii="Arial" w:hAnsi="Arial"/>
      <w:snapToGrid w:val="0"/>
      <w:sz w:val="24"/>
    </w:rPr>
  </w:style>
  <w:style w:type="character" w:styleId="Mention">
    <w:name w:val="Mention"/>
    <w:basedOn w:val="DefaultParagraphFont"/>
    <w:uiPriority w:val="99"/>
    <w:unhideWhenUsed/>
    <w:rsid w:val="00D93BF5"/>
    <w:rPr>
      <w:color w:val="2B579A"/>
      <w:shd w:val="clear" w:color="auto" w:fill="E6E6E6"/>
    </w:rPr>
  </w:style>
  <w:style w:type="character" w:styleId="UnresolvedMention">
    <w:name w:val="Unresolved Mention"/>
    <w:basedOn w:val="DefaultParagraphFont"/>
    <w:uiPriority w:val="99"/>
    <w:unhideWhenUsed/>
    <w:rsid w:val="00174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139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7D5B-A6EC-4B5B-B5AF-8B6C1228D806}">
  <ds:schemaRefs>
    <ds:schemaRef ds:uri="http://schemas.microsoft.com/sharepoint/v3/contenttype/forms"/>
  </ds:schemaRefs>
</ds:datastoreItem>
</file>

<file path=customXml/itemProps2.xml><?xml version="1.0" encoding="utf-8"?>
<ds:datastoreItem xmlns:ds="http://schemas.openxmlformats.org/officeDocument/2006/customXml" ds:itemID="{B51337E5-63CD-47AE-9527-2217947AF48E}">
  <ds:schemaRefs>
    <ds:schemaRef ds:uri="http://schemas.microsoft.com/office/2006/documentManagement/types"/>
    <ds:schemaRef ds:uri="http://purl.org/dc/dcmitype/"/>
    <ds:schemaRef ds:uri="http://purl.org/dc/terms/"/>
    <ds:schemaRef ds:uri="http://schemas.openxmlformats.org/package/2006/metadata/core-properties"/>
    <ds:schemaRef ds:uri="de349a6f-9dd4-4167-a0ec-0f85ef0207c9"/>
    <ds:schemaRef ds:uri="http://purl.org/dc/elements/1.1/"/>
    <ds:schemaRef ds:uri="http://schemas.microsoft.com/office/2006/metadata/properties"/>
    <ds:schemaRef ds:uri="http://www.w3.org/XML/1998/namespace"/>
    <ds:schemaRef ds:uri="http://schemas.microsoft.com/office/infopath/2007/PartnerControls"/>
    <ds:schemaRef ds:uri="82071710-83e2-4871-b606-0004f14e9c40"/>
  </ds:schemaRefs>
</ds:datastoreItem>
</file>

<file path=customXml/itemProps3.xml><?xml version="1.0" encoding="utf-8"?>
<ds:datastoreItem xmlns:ds="http://schemas.openxmlformats.org/officeDocument/2006/customXml" ds:itemID="{F8C2A3C0-429B-4636-914C-3278221BD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2640</Words>
  <Characters>14185</Characters>
  <Application>Microsoft Office Word</Application>
  <DocSecurity>0</DocSecurity>
  <Lines>337</Lines>
  <Paragraphs>158</Paragraphs>
  <ScaleCrop>false</ScaleCrop>
  <HeadingPairs>
    <vt:vector size="2" baseType="variant">
      <vt:variant>
        <vt:lpstr>Title</vt:lpstr>
      </vt:variant>
      <vt:variant>
        <vt:i4>1</vt:i4>
      </vt:variant>
    </vt:vector>
  </HeadingPairs>
  <TitlesOfParts>
    <vt:vector size="1" baseType="lpstr">
      <vt:lpstr>HCD-1-AC-01-22-ET-Pt2</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HCD-1-AC-01-22-ET-Pt2</dc:title>
  <dc:subject/>
  <dc:creator>Turdean, Veronica@HCD</dc:creator>
  <cp:keywords/>
  <cp:lastModifiedBy>Hagler, Carol@DGS</cp:lastModifiedBy>
  <cp:revision>3</cp:revision>
  <cp:lastPrinted>2020-06-10T21:02:00Z</cp:lastPrinted>
  <dcterms:created xsi:type="dcterms:W3CDTF">2022-12-06T23:56:00Z</dcterms:created>
  <dcterms:modified xsi:type="dcterms:W3CDTF">2023-01-17T22:08:00Z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