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A087F" w14:textId="77777777" w:rsidR="00115C8B" w:rsidRDefault="00115C8B" w:rsidP="00445C8E">
      <w:pPr>
        <w:rPr>
          <w:rFonts w:cs="Arial"/>
        </w:rPr>
      </w:pPr>
    </w:p>
    <w:p w14:paraId="7614D3B7" w14:textId="2C69F6A9" w:rsidR="00516167" w:rsidRPr="000D08E3" w:rsidRDefault="00516167" w:rsidP="000D08E3">
      <w:pPr>
        <w:pStyle w:val="Heading1"/>
        <w:spacing w:before="0"/>
        <w:jc w:val="center"/>
        <w:rPr>
          <w:rFonts w:ascii="Arial" w:hAnsi="Arial" w:cs="Arial"/>
          <w:b/>
          <w:bCs/>
          <w:color w:val="auto"/>
          <w:sz w:val="24"/>
          <w:szCs w:val="24"/>
        </w:rPr>
      </w:pPr>
      <w:r w:rsidRPr="000D08E3">
        <w:rPr>
          <w:rFonts w:ascii="Arial" w:hAnsi="Arial" w:cs="Arial"/>
          <w:b/>
          <w:bCs/>
          <w:color w:val="auto"/>
          <w:sz w:val="24"/>
          <w:szCs w:val="24"/>
        </w:rPr>
        <w:t>CALIFORNIA BUILDING STANDARDS COMMISSION</w:t>
      </w:r>
    </w:p>
    <w:p w14:paraId="5FD311B4" w14:textId="77777777" w:rsidR="00270E81" w:rsidRPr="000D08E3" w:rsidRDefault="00270E81" w:rsidP="000D08E3">
      <w:pPr>
        <w:pStyle w:val="Heading1"/>
        <w:spacing w:before="0"/>
        <w:jc w:val="center"/>
        <w:rPr>
          <w:rFonts w:ascii="Arial" w:hAnsi="Arial" w:cs="Arial"/>
          <w:b/>
          <w:bCs/>
          <w:color w:val="auto"/>
          <w:sz w:val="24"/>
          <w:szCs w:val="24"/>
        </w:rPr>
      </w:pPr>
      <w:r w:rsidRPr="000D08E3">
        <w:rPr>
          <w:rFonts w:ascii="Arial" w:hAnsi="Arial" w:cs="Arial"/>
          <w:b/>
          <w:bCs/>
          <w:color w:val="auto"/>
          <w:sz w:val="24"/>
          <w:szCs w:val="24"/>
        </w:rPr>
        <w:t>DIVISION OF THE STATE ARCHITECT</w:t>
      </w:r>
    </w:p>
    <w:p w14:paraId="78288A55" w14:textId="77777777" w:rsidR="00020882" w:rsidRPr="00082479" w:rsidRDefault="00020882" w:rsidP="00516167">
      <w:pPr>
        <w:pStyle w:val="Title"/>
        <w:rPr>
          <w:rFonts w:ascii="Arial" w:hAnsi="Arial" w:cs="Arial"/>
          <w:szCs w:val="24"/>
        </w:rPr>
      </w:pPr>
    </w:p>
    <w:p w14:paraId="788C79F2" w14:textId="7A1CC147" w:rsidR="005818FB" w:rsidRPr="00082479" w:rsidRDefault="00D81E84" w:rsidP="005818FB">
      <w:pPr>
        <w:pStyle w:val="Title"/>
        <w:rPr>
          <w:rFonts w:ascii="Arial" w:hAnsi="Arial" w:cs="Arial"/>
          <w:szCs w:val="24"/>
        </w:rPr>
      </w:pPr>
      <w:r>
        <w:rPr>
          <w:rFonts w:ascii="Arial" w:hAnsi="Arial" w:cs="Arial"/>
          <w:szCs w:val="24"/>
        </w:rPr>
        <w:t>December 9</w:t>
      </w:r>
      <w:r w:rsidR="00CE59BA">
        <w:rPr>
          <w:rFonts w:ascii="Arial" w:hAnsi="Arial" w:cs="Arial"/>
          <w:szCs w:val="24"/>
        </w:rPr>
        <w:t xml:space="preserve">, </w:t>
      </w:r>
      <w:r w:rsidR="00991927">
        <w:rPr>
          <w:rFonts w:ascii="Arial" w:hAnsi="Arial" w:cs="Arial"/>
          <w:szCs w:val="24"/>
        </w:rPr>
        <w:t>20</w:t>
      </w:r>
      <w:r>
        <w:rPr>
          <w:rFonts w:ascii="Arial" w:hAnsi="Arial" w:cs="Arial"/>
          <w:szCs w:val="24"/>
        </w:rPr>
        <w:t>20</w:t>
      </w:r>
    </w:p>
    <w:p w14:paraId="402F37D8" w14:textId="3DD34A5C" w:rsidR="008C16D4" w:rsidRPr="00082479" w:rsidRDefault="003C7618" w:rsidP="008C16D4">
      <w:pPr>
        <w:pStyle w:val="Title"/>
        <w:rPr>
          <w:rFonts w:ascii="Arial" w:hAnsi="Arial" w:cs="Arial"/>
          <w:szCs w:val="24"/>
        </w:rPr>
      </w:pPr>
      <w:r>
        <w:rPr>
          <w:rFonts w:ascii="Arial" w:hAnsi="Arial" w:cs="Arial"/>
          <w:szCs w:val="24"/>
        </w:rPr>
        <w:t>CAL</w:t>
      </w:r>
      <w:r w:rsidR="008C16D4" w:rsidRPr="00082479">
        <w:rPr>
          <w:rFonts w:ascii="Arial" w:hAnsi="Arial" w:cs="Arial"/>
          <w:szCs w:val="24"/>
        </w:rPr>
        <w:t xml:space="preserve">GREEN </w:t>
      </w:r>
      <w:bookmarkStart w:id="0" w:name="_GoBack"/>
      <w:bookmarkEnd w:id="0"/>
    </w:p>
    <w:p w14:paraId="6E7E27EB" w14:textId="77777777" w:rsidR="008C16D4" w:rsidRPr="00082479" w:rsidRDefault="008C16D4" w:rsidP="008C16D4">
      <w:pPr>
        <w:pStyle w:val="Title"/>
        <w:rPr>
          <w:rFonts w:ascii="Arial" w:hAnsi="Arial" w:cs="Arial"/>
          <w:szCs w:val="24"/>
        </w:rPr>
      </w:pPr>
      <w:r w:rsidRPr="00082479">
        <w:rPr>
          <w:rFonts w:ascii="Arial" w:hAnsi="Arial" w:cs="Arial"/>
          <w:szCs w:val="24"/>
        </w:rPr>
        <w:t>WORKSHOP</w:t>
      </w:r>
    </w:p>
    <w:p w14:paraId="78CE4307" w14:textId="6BB05CBD" w:rsidR="00E92C94" w:rsidRPr="00082479" w:rsidRDefault="00E92C94" w:rsidP="00E92C94">
      <w:pPr>
        <w:pStyle w:val="Title"/>
        <w:rPr>
          <w:rFonts w:ascii="Arial" w:hAnsi="Arial" w:cs="Arial"/>
          <w:szCs w:val="24"/>
        </w:rPr>
      </w:pPr>
      <w:r w:rsidRPr="00082479">
        <w:rPr>
          <w:rFonts w:ascii="Arial" w:hAnsi="Arial" w:cs="Arial"/>
          <w:szCs w:val="24"/>
        </w:rPr>
        <w:t xml:space="preserve">Agenda Item </w:t>
      </w:r>
      <w:r w:rsidR="00A26FAB">
        <w:rPr>
          <w:rFonts w:ascii="Arial" w:hAnsi="Arial" w:cs="Arial"/>
          <w:szCs w:val="24"/>
        </w:rPr>
        <w:t>4</w:t>
      </w:r>
    </w:p>
    <w:p w14:paraId="1BEE49AC" w14:textId="77777777" w:rsidR="008C16D4" w:rsidRPr="00082479" w:rsidRDefault="008C16D4" w:rsidP="002551B5">
      <w:pPr>
        <w:pStyle w:val="Title"/>
        <w:rPr>
          <w:rFonts w:ascii="Arial" w:hAnsi="Arial" w:cs="Arial"/>
          <w:szCs w:val="24"/>
        </w:rPr>
      </w:pPr>
    </w:p>
    <w:p w14:paraId="1F8D1524" w14:textId="77777777" w:rsidR="005E3A9B" w:rsidRPr="00082479" w:rsidRDefault="005E3A9B" w:rsidP="005E3A9B">
      <w:pPr>
        <w:tabs>
          <w:tab w:val="center" w:pos="4680"/>
        </w:tabs>
        <w:jc w:val="center"/>
        <w:rPr>
          <w:rFonts w:cs="Arial"/>
          <w:b/>
          <w:bCs/>
          <w:snapToGrid w:val="0"/>
        </w:rPr>
      </w:pPr>
      <w:r w:rsidRPr="00082479">
        <w:rPr>
          <w:rFonts w:cs="Arial"/>
          <w:b/>
          <w:bCs/>
          <w:snapToGrid w:val="0"/>
        </w:rPr>
        <w:t>DRAFT EXPRESS TERMS</w:t>
      </w:r>
    </w:p>
    <w:p w14:paraId="0270CEC3" w14:textId="77777777" w:rsidR="007938B6" w:rsidRPr="00082479" w:rsidRDefault="005E3A9B" w:rsidP="005E3A9B">
      <w:pPr>
        <w:tabs>
          <w:tab w:val="center" w:pos="4680"/>
        </w:tabs>
        <w:jc w:val="center"/>
        <w:rPr>
          <w:rFonts w:cs="Arial"/>
          <w:b/>
          <w:bCs/>
          <w:snapToGrid w:val="0"/>
        </w:rPr>
      </w:pPr>
      <w:r w:rsidRPr="00082479">
        <w:rPr>
          <w:rFonts w:cs="Arial"/>
          <w:b/>
          <w:bCs/>
          <w:snapToGrid w:val="0"/>
        </w:rPr>
        <w:t xml:space="preserve">CALIFORNIA </w:t>
      </w:r>
      <w:r w:rsidR="007E0FD0" w:rsidRPr="00082479">
        <w:rPr>
          <w:rFonts w:cs="Arial"/>
          <w:b/>
          <w:bCs/>
          <w:snapToGrid w:val="0"/>
        </w:rPr>
        <w:t xml:space="preserve">GREEN </w:t>
      </w:r>
      <w:r w:rsidRPr="00082479">
        <w:rPr>
          <w:rFonts w:cs="Arial"/>
          <w:b/>
          <w:bCs/>
          <w:snapToGrid w:val="0"/>
        </w:rPr>
        <w:t xml:space="preserve">BUILDING </w:t>
      </w:r>
      <w:r w:rsidR="007E0FD0" w:rsidRPr="00082479">
        <w:rPr>
          <w:rFonts w:cs="Arial"/>
          <w:b/>
          <w:bCs/>
          <w:snapToGrid w:val="0"/>
        </w:rPr>
        <w:t xml:space="preserve">STANDARDS </w:t>
      </w:r>
      <w:r w:rsidRPr="00082479">
        <w:rPr>
          <w:rFonts w:cs="Arial"/>
          <w:b/>
          <w:bCs/>
          <w:snapToGrid w:val="0"/>
        </w:rPr>
        <w:t>CODE</w:t>
      </w:r>
      <w:r w:rsidR="007938B6" w:rsidRPr="00082479">
        <w:rPr>
          <w:rFonts w:cs="Arial"/>
          <w:b/>
          <w:bCs/>
          <w:snapToGrid w:val="0"/>
        </w:rPr>
        <w:t>,</w:t>
      </w:r>
    </w:p>
    <w:p w14:paraId="3CB8C9A9" w14:textId="77777777" w:rsidR="007938B6" w:rsidRPr="00082479" w:rsidRDefault="007938B6" w:rsidP="007938B6">
      <w:pPr>
        <w:tabs>
          <w:tab w:val="center" w:pos="4680"/>
        </w:tabs>
        <w:jc w:val="center"/>
        <w:rPr>
          <w:rFonts w:cs="Arial"/>
          <w:b/>
          <w:bCs/>
          <w:snapToGrid w:val="0"/>
        </w:rPr>
      </w:pPr>
      <w:r w:rsidRPr="00082479">
        <w:rPr>
          <w:rFonts w:cs="Arial"/>
          <w:b/>
          <w:bCs/>
          <w:snapToGrid w:val="0"/>
        </w:rPr>
        <w:t>(</w:t>
      </w:r>
      <w:proofErr w:type="spellStart"/>
      <w:r w:rsidRPr="00082479">
        <w:rPr>
          <w:rFonts w:cs="Arial"/>
          <w:b/>
          <w:bCs/>
          <w:snapToGrid w:val="0"/>
        </w:rPr>
        <w:t>CALGreen</w:t>
      </w:r>
      <w:proofErr w:type="spellEnd"/>
      <w:r w:rsidRPr="00082479">
        <w:rPr>
          <w:rFonts w:cs="Arial"/>
          <w:b/>
          <w:bCs/>
          <w:snapToGrid w:val="0"/>
        </w:rPr>
        <w:t xml:space="preserve">), PART 11, </w:t>
      </w:r>
    </w:p>
    <w:p w14:paraId="181D226E" w14:textId="77777777" w:rsidR="007938B6" w:rsidRPr="00082479" w:rsidRDefault="007938B6" w:rsidP="007938B6">
      <w:pPr>
        <w:tabs>
          <w:tab w:val="center" w:pos="4680"/>
        </w:tabs>
        <w:jc w:val="center"/>
        <w:rPr>
          <w:rFonts w:cs="Arial"/>
          <w:b/>
          <w:bCs/>
          <w:snapToGrid w:val="0"/>
        </w:rPr>
      </w:pPr>
      <w:r w:rsidRPr="00082479">
        <w:rPr>
          <w:rFonts w:cs="Arial"/>
          <w:b/>
          <w:bCs/>
          <w:snapToGrid w:val="0"/>
        </w:rPr>
        <w:t xml:space="preserve">CALIFORNIA BUILDING STANDARDS CODE, </w:t>
      </w:r>
    </w:p>
    <w:p w14:paraId="30BE8BC3" w14:textId="77777777" w:rsidR="005E3A9B" w:rsidRPr="00082479" w:rsidRDefault="007938B6" w:rsidP="007938B6">
      <w:pPr>
        <w:tabs>
          <w:tab w:val="center" w:pos="4680"/>
        </w:tabs>
        <w:jc w:val="center"/>
        <w:rPr>
          <w:rFonts w:cs="Arial"/>
          <w:b/>
          <w:bCs/>
          <w:snapToGrid w:val="0"/>
        </w:rPr>
      </w:pPr>
      <w:r w:rsidRPr="00082479">
        <w:rPr>
          <w:rFonts w:cs="Arial"/>
          <w:b/>
          <w:bCs/>
          <w:snapToGrid w:val="0"/>
        </w:rPr>
        <w:t>TITLE 24, CALIFORNIA CODE OF REGULATIONS</w:t>
      </w:r>
    </w:p>
    <w:p w14:paraId="5BFCF86C" w14:textId="77777777" w:rsidR="00B157CE" w:rsidRPr="00082479" w:rsidRDefault="00B157CE" w:rsidP="009C1889">
      <w:pPr>
        <w:pStyle w:val="Heading2"/>
        <w:ind w:left="0"/>
      </w:pPr>
    </w:p>
    <w:p w14:paraId="05D56767" w14:textId="77777777" w:rsidR="00E73CA0" w:rsidRDefault="00E73CA0" w:rsidP="00E73CA0">
      <w:pPr>
        <w:pStyle w:val="ListParagraph"/>
        <w:pBdr>
          <w:bottom w:val="single" w:sz="6" w:space="1" w:color="auto"/>
        </w:pBdr>
        <w:ind w:left="0"/>
        <w:rPr>
          <w:rFonts w:ascii="Arial" w:hAnsi="Arial" w:cs="Arial"/>
          <w:szCs w:val="24"/>
        </w:rPr>
      </w:pPr>
    </w:p>
    <w:p w14:paraId="66EC9DC7" w14:textId="77777777" w:rsidR="00E73CA0" w:rsidRDefault="00E73CA0" w:rsidP="00E73CA0">
      <w:pPr>
        <w:pStyle w:val="ListParagraph"/>
        <w:ind w:left="0"/>
        <w:rPr>
          <w:rFonts w:ascii="Arial" w:hAnsi="Arial" w:cs="Arial"/>
          <w:szCs w:val="24"/>
        </w:rPr>
      </w:pPr>
    </w:p>
    <w:p w14:paraId="1E6DC073" w14:textId="77777777" w:rsidR="00E73CA0" w:rsidRPr="00D0480A" w:rsidRDefault="00E73CA0" w:rsidP="00E73CA0">
      <w:pPr>
        <w:pStyle w:val="ListParagraph"/>
        <w:ind w:left="0"/>
        <w:rPr>
          <w:rFonts w:ascii="Arial" w:hAnsi="Arial" w:cs="Arial"/>
          <w:szCs w:val="24"/>
        </w:rPr>
      </w:pPr>
      <w:r w:rsidRPr="00D0480A">
        <w:rPr>
          <w:rFonts w:ascii="Arial" w:hAnsi="Arial" w:cs="Arial"/>
          <w:szCs w:val="24"/>
        </w:rPr>
        <w:t>If using assistive technology, please adjust your settings to recognize underline, strikeout and ellipsis.</w:t>
      </w:r>
    </w:p>
    <w:p w14:paraId="737CB77E" w14:textId="77777777" w:rsidR="00E73CA0" w:rsidRPr="00D0480A" w:rsidRDefault="00E73CA0" w:rsidP="00E73CA0">
      <w:pPr>
        <w:pStyle w:val="Heading2"/>
        <w:ind w:left="0"/>
        <w:rPr>
          <w:rFonts w:ascii="Arial" w:hAnsi="Arial" w:cs="Arial"/>
          <w:b w:val="0"/>
          <w:sz w:val="24"/>
          <w:szCs w:val="24"/>
        </w:rPr>
      </w:pPr>
      <w:r w:rsidRPr="00D0480A">
        <w:rPr>
          <w:rFonts w:ascii="Arial" w:hAnsi="Arial" w:cs="Arial"/>
          <w:sz w:val="24"/>
          <w:szCs w:val="24"/>
        </w:rPr>
        <w:t xml:space="preserve">LEGEND for EXPRESS TERMS </w:t>
      </w:r>
    </w:p>
    <w:p w14:paraId="12985410" w14:textId="77777777" w:rsidR="00E73CA0" w:rsidRPr="00D0480A" w:rsidRDefault="00E73CA0" w:rsidP="00E73CA0">
      <w:pPr>
        <w:pStyle w:val="ListParagraph"/>
        <w:widowControl w:val="0"/>
        <w:numPr>
          <w:ilvl w:val="0"/>
          <w:numId w:val="26"/>
        </w:numPr>
        <w:contextualSpacing/>
        <w:rPr>
          <w:rFonts w:ascii="Arial" w:hAnsi="Arial" w:cs="Arial"/>
          <w:szCs w:val="24"/>
        </w:rPr>
      </w:pPr>
      <w:r w:rsidRPr="00D0480A">
        <w:rPr>
          <w:rFonts w:ascii="Arial" w:hAnsi="Arial" w:cs="Arial"/>
          <w:szCs w:val="24"/>
        </w:rPr>
        <w:t>Existing California amendments appear upright</w:t>
      </w:r>
    </w:p>
    <w:p w14:paraId="78DDA3E1" w14:textId="77777777" w:rsidR="00E73CA0" w:rsidRPr="00D0480A" w:rsidRDefault="00E73CA0" w:rsidP="00E73CA0">
      <w:pPr>
        <w:pStyle w:val="ListParagraph"/>
        <w:widowControl w:val="0"/>
        <w:numPr>
          <w:ilvl w:val="0"/>
          <w:numId w:val="26"/>
        </w:numPr>
        <w:contextualSpacing/>
        <w:rPr>
          <w:rFonts w:ascii="Arial" w:hAnsi="Arial" w:cs="Arial"/>
          <w:szCs w:val="24"/>
        </w:rPr>
      </w:pPr>
      <w:r w:rsidRPr="00D0480A">
        <w:rPr>
          <w:rFonts w:ascii="Arial" w:hAnsi="Arial" w:cs="Arial"/>
          <w:szCs w:val="24"/>
        </w:rPr>
        <w:t xml:space="preserve">Amended or new California amendments appear </w:t>
      </w:r>
      <w:r w:rsidRPr="00D0480A">
        <w:rPr>
          <w:rFonts w:ascii="Arial" w:hAnsi="Arial" w:cs="Arial"/>
          <w:iCs/>
          <w:szCs w:val="24"/>
          <w:u w:val="single"/>
        </w:rPr>
        <w:t>underlined</w:t>
      </w:r>
    </w:p>
    <w:p w14:paraId="69E4E62C" w14:textId="77777777" w:rsidR="00E73CA0" w:rsidRPr="00D0480A" w:rsidRDefault="00E73CA0" w:rsidP="00E73CA0">
      <w:pPr>
        <w:pStyle w:val="ListParagraph"/>
        <w:widowControl w:val="0"/>
        <w:numPr>
          <w:ilvl w:val="0"/>
          <w:numId w:val="26"/>
        </w:numPr>
        <w:contextualSpacing/>
        <w:rPr>
          <w:rFonts w:ascii="Arial" w:hAnsi="Arial" w:cs="Arial"/>
          <w:szCs w:val="24"/>
        </w:rPr>
      </w:pPr>
      <w:r w:rsidRPr="00D0480A">
        <w:rPr>
          <w:rFonts w:ascii="Arial" w:hAnsi="Arial" w:cs="Arial"/>
          <w:szCs w:val="24"/>
        </w:rPr>
        <w:t xml:space="preserve">Repealed California language appears </w:t>
      </w:r>
      <w:r w:rsidRPr="00D0480A">
        <w:rPr>
          <w:rFonts w:ascii="Arial" w:hAnsi="Arial" w:cs="Arial"/>
          <w:strike/>
          <w:szCs w:val="24"/>
        </w:rPr>
        <w:t>upright and in strikeout</w:t>
      </w:r>
    </w:p>
    <w:p w14:paraId="0D5F1482" w14:textId="77777777" w:rsidR="00E73CA0" w:rsidRPr="00D0480A" w:rsidRDefault="00E73CA0" w:rsidP="00E73CA0">
      <w:pPr>
        <w:pStyle w:val="ListParagraph"/>
        <w:widowControl w:val="0"/>
        <w:numPr>
          <w:ilvl w:val="0"/>
          <w:numId w:val="26"/>
        </w:numPr>
        <w:contextualSpacing/>
        <w:rPr>
          <w:rFonts w:ascii="Arial" w:hAnsi="Arial" w:cs="Arial"/>
          <w:szCs w:val="24"/>
        </w:rPr>
      </w:pPr>
      <w:r w:rsidRPr="00D0480A">
        <w:rPr>
          <w:rFonts w:ascii="Arial" w:hAnsi="Arial" w:cs="Arial"/>
          <w:szCs w:val="24"/>
        </w:rPr>
        <w:t>Ellipsis (…) indicate existing text remains unchanged</w:t>
      </w:r>
    </w:p>
    <w:p w14:paraId="4CCCB8F9" w14:textId="13A26FA2" w:rsidR="00B157CE" w:rsidRPr="00082479" w:rsidRDefault="000D08E3" w:rsidP="00E73CA0">
      <w:pPr>
        <w:pStyle w:val="Title"/>
        <w:jc w:val="left"/>
        <w:rPr>
          <w:rFonts w:ascii="Arial" w:hAnsi="Arial" w:cs="Arial"/>
          <w:szCs w:val="24"/>
        </w:rPr>
      </w:pPr>
      <w:r>
        <w:rPr>
          <w:rFonts w:ascii="Arial" w:hAnsi="Arial" w:cs="Arial"/>
          <w:color w:val="000000" w:themeColor="text1"/>
          <w:szCs w:val="24"/>
        </w:rPr>
        <w:pict w14:anchorId="6D1626A5">
          <v:rect id="_x0000_i1025" style="width:468pt;height:.5pt" o:hralign="center" o:hrstd="t" o:hrnoshade="t" o:hr="t" fillcolor="black [3213]" stroked="f"/>
        </w:pict>
      </w:r>
    </w:p>
    <w:p w14:paraId="04D7E187" w14:textId="77777777" w:rsidR="00E73CA0" w:rsidRDefault="00E73CA0" w:rsidP="00C8452E">
      <w:pPr>
        <w:pStyle w:val="Heading2"/>
        <w:ind w:left="0"/>
        <w:rPr>
          <w:rFonts w:ascii="Arial" w:hAnsi="Arial" w:cs="Arial"/>
          <w:sz w:val="24"/>
          <w:szCs w:val="24"/>
        </w:rPr>
      </w:pPr>
    </w:p>
    <w:p w14:paraId="67DD34A8" w14:textId="7E962F10" w:rsidR="00116AA1" w:rsidRPr="00C8452E" w:rsidRDefault="0095562E" w:rsidP="00C8452E">
      <w:pPr>
        <w:pStyle w:val="Heading2"/>
        <w:ind w:left="0"/>
        <w:rPr>
          <w:rFonts w:ascii="Arial" w:hAnsi="Arial" w:cs="Arial"/>
          <w:sz w:val="24"/>
          <w:szCs w:val="24"/>
        </w:rPr>
      </w:pPr>
      <w:r w:rsidRPr="00C8452E">
        <w:rPr>
          <w:rFonts w:ascii="Arial" w:hAnsi="Arial" w:cs="Arial"/>
          <w:sz w:val="24"/>
          <w:szCs w:val="24"/>
        </w:rPr>
        <w:t xml:space="preserve">ITEM </w:t>
      </w:r>
      <w:r w:rsidR="00A26FAB">
        <w:rPr>
          <w:rFonts w:ascii="Arial" w:hAnsi="Arial" w:cs="Arial"/>
          <w:sz w:val="24"/>
          <w:szCs w:val="24"/>
        </w:rPr>
        <w:t>4</w:t>
      </w:r>
      <w:r w:rsidRPr="00C8452E">
        <w:rPr>
          <w:rFonts w:ascii="Arial" w:hAnsi="Arial" w:cs="Arial"/>
          <w:sz w:val="24"/>
          <w:szCs w:val="24"/>
        </w:rPr>
        <w:t>-</w:t>
      </w:r>
    </w:p>
    <w:p w14:paraId="64E0F435" w14:textId="13C7ADDE" w:rsidR="00274032" w:rsidRPr="00C8452E" w:rsidRDefault="000D1B36" w:rsidP="00C8452E">
      <w:pPr>
        <w:pStyle w:val="Heading2"/>
        <w:ind w:left="0"/>
        <w:rPr>
          <w:rFonts w:ascii="Arial" w:hAnsi="Arial" w:cs="Arial"/>
          <w:sz w:val="24"/>
          <w:szCs w:val="24"/>
        </w:rPr>
      </w:pPr>
      <w:r w:rsidRPr="00C8452E">
        <w:rPr>
          <w:rFonts w:ascii="Arial" w:hAnsi="Arial" w:cs="Arial"/>
          <w:sz w:val="24"/>
          <w:szCs w:val="24"/>
        </w:rPr>
        <w:t>5.106</w:t>
      </w:r>
      <w:r w:rsidR="00274032" w:rsidRPr="00C8452E">
        <w:rPr>
          <w:rFonts w:ascii="Arial" w:hAnsi="Arial" w:cs="Arial"/>
          <w:sz w:val="24"/>
          <w:szCs w:val="24"/>
        </w:rPr>
        <w:t>.</w:t>
      </w:r>
      <w:r w:rsidR="001D77BF" w:rsidRPr="00C8452E">
        <w:rPr>
          <w:rFonts w:ascii="Arial" w:hAnsi="Arial" w:cs="Arial"/>
          <w:sz w:val="24"/>
          <w:szCs w:val="24"/>
        </w:rPr>
        <w:t>5.</w:t>
      </w:r>
      <w:r w:rsidR="009921A1" w:rsidRPr="00C8452E">
        <w:rPr>
          <w:rFonts w:ascii="Arial" w:hAnsi="Arial" w:cs="Arial"/>
          <w:sz w:val="24"/>
          <w:szCs w:val="24"/>
        </w:rPr>
        <w:t>4</w:t>
      </w:r>
      <w:r w:rsidR="007376F9" w:rsidRPr="00C8452E">
        <w:rPr>
          <w:rFonts w:ascii="Arial" w:hAnsi="Arial" w:cs="Arial"/>
          <w:sz w:val="24"/>
          <w:szCs w:val="24"/>
        </w:rPr>
        <w:t xml:space="preserve"> Electric Vehicle </w:t>
      </w:r>
      <w:r w:rsidR="00226B62" w:rsidRPr="00C8452E">
        <w:rPr>
          <w:rFonts w:ascii="Arial" w:hAnsi="Arial" w:cs="Arial"/>
          <w:sz w:val="24"/>
          <w:szCs w:val="24"/>
        </w:rPr>
        <w:t>(EV) charging</w:t>
      </w:r>
      <w:r w:rsidR="00DB799D" w:rsidRPr="00C8452E">
        <w:rPr>
          <w:rFonts w:ascii="Arial" w:hAnsi="Arial" w:cs="Arial"/>
          <w:sz w:val="24"/>
          <w:szCs w:val="24"/>
        </w:rPr>
        <w:t>-</w:t>
      </w:r>
      <w:r w:rsidR="00606085" w:rsidRPr="00C8452E">
        <w:rPr>
          <w:rFonts w:ascii="Arial" w:hAnsi="Arial" w:cs="Arial"/>
          <w:sz w:val="24"/>
          <w:szCs w:val="24"/>
        </w:rPr>
        <w:t>Medium-duty and Heavy-duty Vehicles</w:t>
      </w:r>
    </w:p>
    <w:p w14:paraId="25058799" w14:textId="77777777" w:rsidR="00226B62" w:rsidRPr="00C8452E" w:rsidRDefault="00226B62" w:rsidP="00C8452E">
      <w:pPr>
        <w:pStyle w:val="Heading2"/>
        <w:ind w:left="0"/>
        <w:rPr>
          <w:rFonts w:ascii="Arial" w:hAnsi="Arial" w:cs="Arial"/>
          <w:sz w:val="24"/>
          <w:szCs w:val="24"/>
        </w:rPr>
      </w:pPr>
      <w:r w:rsidRPr="00C8452E">
        <w:rPr>
          <w:rFonts w:ascii="Arial" w:hAnsi="Arial" w:cs="Arial"/>
          <w:sz w:val="24"/>
          <w:szCs w:val="24"/>
        </w:rPr>
        <w:t>(Mandatory Measures)</w:t>
      </w:r>
    </w:p>
    <w:p w14:paraId="35559960" w14:textId="77777777" w:rsidR="009D7453" w:rsidRPr="00082479" w:rsidRDefault="009D7453" w:rsidP="00C8452E">
      <w:pPr>
        <w:autoSpaceDE w:val="0"/>
        <w:autoSpaceDN w:val="0"/>
        <w:adjustRightInd w:val="0"/>
        <w:rPr>
          <w:rFonts w:cs="Arial"/>
        </w:rPr>
      </w:pPr>
    </w:p>
    <w:p w14:paraId="2FE9C2F4" w14:textId="77777777" w:rsidR="00FF4B03" w:rsidRPr="00082479" w:rsidRDefault="00FF4B03" w:rsidP="009C1889">
      <w:pPr>
        <w:spacing w:line="216" w:lineRule="auto"/>
        <w:rPr>
          <w:rFonts w:cs="Arial"/>
          <w:b/>
        </w:rPr>
      </w:pPr>
      <w:r w:rsidRPr="00082479">
        <w:rPr>
          <w:rFonts w:cs="Arial"/>
          <w:b/>
        </w:rPr>
        <w:t>Statement of specific purpose, problem, rationale and benefits:</w:t>
      </w:r>
    </w:p>
    <w:p w14:paraId="20C61D71" w14:textId="77777777" w:rsidR="0074569F" w:rsidRPr="00795D5C" w:rsidRDefault="0074569F" w:rsidP="0074569F">
      <w:r w:rsidRPr="00795D5C">
        <w:t>CBSC proposes this section for adoption, which includes a mandatory requirement to install make-ready infrastructure to support later addition of Level 2 and DC fast charging stations in new warehouses, grocery stores, and retail buildings with loading docks that will support the future addition of chargers for medium- and heavy-duty vehicles.</w:t>
      </w:r>
    </w:p>
    <w:p w14:paraId="6B644BE5" w14:textId="77777777" w:rsidR="0074569F" w:rsidRPr="00795D5C" w:rsidRDefault="0074569F" w:rsidP="0074569F"/>
    <w:p w14:paraId="01C073DA" w14:textId="77777777" w:rsidR="0074569F" w:rsidRPr="00795D5C" w:rsidRDefault="0074569F" w:rsidP="0074569F">
      <w:r w:rsidRPr="00795D5C">
        <w:t>Under a mandate from Assembly Bill 1092 (Chapter 410, Statutes of 2013) authored by Assembly Member Levine, CBSC was directed to develop mandatory EV standards for nonresidential buildings during the 2016 Triennial Code Adoption Cycle.</w:t>
      </w:r>
    </w:p>
    <w:p w14:paraId="4F2915C9" w14:textId="77777777" w:rsidR="0074569F" w:rsidRPr="00795D5C" w:rsidRDefault="0074569F" w:rsidP="0074569F"/>
    <w:p w14:paraId="7635A493" w14:textId="77777777" w:rsidR="0074569F" w:rsidRPr="00795D5C" w:rsidRDefault="0074569F" w:rsidP="0074569F">
      <w:r w:rsidRPr="00795D5C">
        <w:t xml:space="preserve">Health and Safety Code Section 18930.5(b) as amended by Assembly Bill 341 allows CBSC and other state agencies that propose building standards to allow for input by state agencies that have expertise in green building subject areas.  The California Air Resources Board (CARB) has expertise in air quality, climate change, and EV charging infrastructure.  </w:t>
      </w:r>
    </w:p>
    <w:p w14:paraId="02F7831B" w14:textId="77777777" w:rsidR="0074569F" w:rsidRPr="00795D5C" w:rsidRDefault="0074569F" w:rsidP="0074569F"/>
    <w:p w14:paraId="6C6D6545" w14:textId="77777777" w:rsidR="0074569F" w:rsidRPr="00795D5C" w:rsidDel="002B34E8" w:rsidRDefault="0074569F" w:rsidP="0074569F">
      <w:r w:rsidRPr="00795D5C">
        <w:rPr>
          <w:rFonts w:eastAsia="Helvetica" w:cs="Helvetica"/>
        </w:rPr>
        <w:t xml:space="preserve">CSBC is moving forward with the CARB suggested changes and proposes to include a mandatory requirement for make-ready infrastructure to support Level 2 and DC Fast </w:t>
      </w:r>
      <w:r w:rsidRPr="00795D5C">
        <w:rPr>
          <w:rFonts w:eastAsia="Helvetica" w:cs="Helvetica"/>
        </w:rPr>
        <w:lastRenderedPageBreak/>
        <w:t xml:space="preserve">Chargers in </w:t>
      </w:r>
      <w:r w:rsidRPr="00795D5C">
        <w:t>new warehouses, grocery stores, and retail buildings with loading docks.</w:t>
      </w:r>
      <w:r w:rsidRPr="00795D5C">
        <w:rPr>
          <w:rFonts w:eastAsia="Helvetica" w:cs="Helvetica"/>
        </w:rPr>
        <w:t xml:space="preserve"> Recent analysis shows that make-ready infrastructure </w:t>
      </w:r>
      <w:r w:rsidRPr="00795D5C">
        <w:rPr>
          <w:rStyle w:val="normaltextrun"/>
          <w:rFonts w:eastAsia="Helvetica" w:cs="Helvetica"/>
          <w:color w:val="000000"/>
          <w:bdr w:val="none" w:sz="0" w:space="0" w:color="auto" w:frame="1"/>
        </w:rPr>
        <w:t>must support 149,000 heavy-duty and 40,000 medium -duty ZEVs by 2030</w:t>
      </w:r>
      <w:r w:rsidRPr="00795D5C">
        <w:rPr>
          <w:rStyle w:val="normaltextrun"/>
          <w:rFonts w:eastAsia="Helvetica" w:cs="Helvetica"/>
          <w:color w:val="000000" w:themeColor="text1"/>
        </w:rPr>
        <w:t>. CARB has adopted and continues to adopt regulations requiring sales and purchases of medium- and heavy-duty ZEVs.</w:t>
      </w:r>
      <w:r w:rsidRPr="00795D5C">
        <w:rPr>
          <w:rStyle w:val="normaltextrun"/>
          <w:rFonts w:eastAsia="Helvetica" w:cs="Helvetica"/>
          <w:color w:val="000000"/>
          <w:bdr w:val="none" w:sz="0" w:space="0" w:color="auto" w:frame="1"/>
        </w:rPr>
        <w:t xml:space="preserve"> </w:t>
      </w:r>
      <w:r w:rsidRPr="00795D5C">
        <w:rPr>
          <w:rStyle w:val="normaltextrun"/>
          <w:rFonts w:eastAsia="Helvetica" w:cs="Helvetica"/>
          <w:color w:val="000000"/>
          <w:shd w:val="clear" w:color="auto" w:fill="FFFFFF"/>
        </w:rPr>
        <w:t>The proposed mandate will increase heavy- and medium-duty ZEV access to EV chargers, which are ultimately necessary to support the implementation of 189,000 MHD ZEVs by 2030, and to achieve 100% sales of medium- and heavy-duty electric vehicles by 2045.</w:t>
      </w:r>
      <w:r w:rsidRPr="00795D5C">
        <w:rPr>
          <w:rStyle w:val="eop"/>
          <w:rFonts w:eastAsia="Helvetica" w:cs="Helvetica"/>
          <w:color w:val="000000"/>
          <w:shd w:val="clear" w:color="auto" w:fill="FFFFFF"/>
        </w:rPr>
        <w:t> </w:t>
      </w:r>
    </w:p>
    <w:p w14:paraId="3BD2E654" w14:textId="77777777" w:rsidR="0074569F" w:rsidRPr="00795D5C" w:rsidRDefault="0074569F" w:rsidP="0074569F">
      <w:pPr>
        <w:rPr>
          <w:rStyle w:val="eop"/>
          <w:rFonts w:eastAsia="Helvetica" w:cs="Helvetica"/>
          <w:color w:val="000000" w:themeColor="text1"/>
        </w:rPr>
      </w:pPr>
    </w:p>
    <w:p w14:paraId="24DB0267" w14:textId="77777777" w:rsidR="0074569F" w:rsidRPr="00795D5C" w:rsidRDefault="0074569F" w:rsidP="0074569F">
      <w:pPr>
        <w:spacing w:line="259" w:lineRule="auto"/>
      </w:pPr>
      <w:r w:rsidRPr="00795D5C">
        <w:t xml:space="preserve">In addition to supporting the Administration’s directives, CBSC’s goal is to enable future charging capability at warehouses, grocery stores, and retail buildings with loading docks </w:t>
      </w:r>
      <w:proofErr w:type="gramStart"/>
      <w:r w:rsidRPr="00795D5C">
        <w:t>in an effort to</w:t>
      </w:r>
      <w:proofErr w:type="gramEnd"/>
      <w:r w:rsidRPr="00795D5C">
        <w:t xml:space="preserve"> reduce the lack of access to EV charging which currently exists.  These proposed code changes support CARB’s regulatory requirements for medium- and heavy-duty vehicles.</w:t>
      </w:r>
    </w:p>
    <w:p w14:paraId="00F7F3C0" w14:textId="77777777" w:rsidR="0074569F" w:rsidRPr="00795D5C" w:rsidRDefault="0074569F" w:rsidP="0074569F">
      <w:pPr>
        <w:spacing w:line="259" w:lineRule="auto"/>
      </w:pPr>
    </w:p>
    <w:p w14:paraId="434EC76B" w14:textId="77777777" w:rsidR="0074569F" w:rsidRPr="00795D5C" w:rsidRDefault="0074569F" w:rsidP="0074569F">
      <w:r w:rsidRPr="00795D5C">
        <w:t>CSBC proposes to include a mandatory requirement to install make-ready infrastructure to support later addition of Level 2 and DC fast charging stations in</w:t>
      </w:r>
      <w:r w:rsidRPr="00795D5C" w:rsidDel="00191A5E">
        <w:t xml:space="preserve"> </w:t>
      </w:r>
      <w:r w:rsidRPr="00795D5C">
        <w:t>new warehouses, grocery stores, and retail buildings with loading docks for charging medium- and heavy-duty vehicles. This change will help improve air quality and support the estimated emissions reductions from current CARB regulations which include; 16.9 to million metric tons carbon dioxide equivalent (</w:t>
      </w:r>
      <w:proofErr w:type="spellStart"/>
      <w:r w:rsidRPr="00795D5C">
        <w:t>MMt</w:t>
      </w:r>
      <w:proofErr w:type="spellEnd"/>
      <w:r w:rsidRPr="00795D5C">
        <w:t xml:space="preserve"> CO2e) total by 2050 from the Innovative Clean Transit Regulation, 0.5 </w:t>
      </w:r>
      <w:proofErr w:type="spellStart"/>
      <w:r w:rsidRPr="00795D5C">
        <w:t>MMt</w:t>
      </w:r>
      <w:proofErr w:type="spellEnd"/>
      <w:r w:rsidRPr="00795D5C">
        <w:t xml:space="preserve"> CO2e total by 2040 from the Airport Shuttle Bus Regulation, and 1.7 </w:t>
      </w:r>
      <w:proofErr w:type="spellStart"/>
      <w:r w:rsidRPr="00795D5C">
        <w:t>MMt</w:t>
      </w:r>
      <w:proofErr w:type="spellEnd"/>
      <w:r w:rsidRPr="00795D5C">
        <w:t xml:space="preserve"> CO2e per year by 2040 from the Advanced Clean Trucks Regulation.  This does not include the reductions from the Advanced Clean Fleets Regulation currently under development.</w:t>
      </w:r>
    </w:p>
    <w:p w14:paraId="614CA36E" w14:textId="62987C3C" w:rsidR="00FD2789" w:rsidRPr="00A26FAB" w:rsidRDefault="007376F9" w:rsidP="00A26FAB">
      <w:pPr>
        <w:rPr>
          <w:rFonts w:cs="Arial"/>
          <w:color w:val="000000"/>
        </w:rPr>
      </w:pPr>
      <w:r w:rsidRPr="00082479">
        <w:rPr>
          <w:rFonts w:cs="Arial"/>
          <w:color w:val="000000"/>
        </w:rPr>
        <w:tab/>
      </w:r>
      <w:bookmarkStart w:id="1" w:name="_Toc361046389"/>
      <w:bookmarkStart w:id="2" w:name="_Toc361051386"/>
    </w:p>
    <w:p w14:paraId="65B808DC" w14:textId="77777777" w:rsidR="00FD2789" w:rsidRDefault="00FD2789" w:rsidP="002F558F">
      <w:pPr>
        <w:pStyle w:val="BodyText3"/>
        <w:jc w:val="center"/>
        <w:rPr>
          <w:rFonts w:cs="Arial"/>
          <w:b/>
          <w:color w:val="000000"/>
        </w:rPr>
      </w:pPr>
    </w:p>
    <w:p w14:paraId="1972A43C" w14:textId="54268B3A" w:rsidR="00E21B24" w:rsidRPr="00E21B24" w:rsidRDefault="00E21B24" w:rsidP="002F558F">
      <w:pPr>
        <w:pStyle w:val="BodyText3"/>
        <w:jc w:val="center"/>
        <w:rPr>
          <w:rFonts w:ascii="Arial" w:hAnsi="Arial" w:cs="Arial"/>
          <w:b/>
          <w:bCs/>
          <w:szCs w:val="24"/>
        </w:rPr>
      </w:pPr>
      <w:r w:rsidRPr="00E21B24">
        <w:rPr>
          <w:rFonts w:cs="Arial"/>
          <w:b/>
          <w:color w:val="000000"/>
        </w:rPr>
        <w:t>CHAPTER 5</w:t>
      </w:r>
    </w:p>
    <w:p w14:paraId="5E135994" w14:textId="77777777" w:rsidR="00E21B24" w:rsidRPr="00A430FC" w:rsidRDefault="00E21B24" w:rsidP="00E21B24">
      <w:pPr>
        <w:pStyle w:val="BodyText3"/>
        <w:jc w:val="center"/>
        <w:rPr>
          <w:rFonts w:ascii="Arial" w:hAnsi="Arial" w:cs="Arial"/>
          <w:b/>
          <w:bCs/>
          <w:szCs w:val="24"/>
        </w:rPr>
      </w:pPr>
      <w:r>
        <w:rPr>
          <w:rFonts w:ascii="Arial" w:hAnsi="Arial" w:cs="Arial"/>
          <w:b/>
          <w:bCs/>
          <w:szCs w:val="24"/>
        </w:rPr>
        <w:t>NONRESIDENTIAL MAND</w:t>
      </w:r>
      <w:r w:rsidR="003801E3">
        <w:rPr>
          <w:rFonts w:ascii="Arial" w:hAnsi="Arial" w:cs="Arial"/>
          <w:b/>
          <w:bCs/>
          <w:szCs w:val="24"/>
        </w:rPr>
        <w:t>A</w:t>
      </w:r>
      <w:r>
        <w:rPr>
          <w:rFonts w:ascii="Arial" w:hAnsi="Arial" w:cs="Arial"/>
          <w:b/>
          <w:bCs/>
          <w:szCs w:val="24"/>
        </w:rPr>
        <w:t>TORY MEASURES</w:t>
      </w:r>
    </w:p>
    <w:p w14:paraId="27605D0E" w14:textId="77777777" w:rsidR="00E21B24" w:rsidRDefault="00E21B24" w:rsidP="00E21B24">
      <w:pPr>
        <w:pStyle w:val="BodyText3"/>
        <w:rPr>
          <w:rFonts w:ascii="Arial" w:hAnsi="Arial" w:cs="Arial"/>
          <w:b/>
          <w:bCs/>
          <w:szCs w:val="24"/>
        </w:rPr>
      </w:pPr>
      <w:r>
        <w:rPr>
          <w:rFonts w:ascii="Arial" w:hAnsi="Arial" w:cs="Arial"/>
          <w:b/>
          <w:bCs/>
          <w:szCs w:val="24"/>
        </w:rPr>
        <w:t>. . .</w:t>
      </w:r>
    </w:p>
    <w:p w14:paraId="36DEB735" w14:textId="77777777" w:rsidR="00E21B24" w:rsidRPr="00A430FC" w:rsidRDefault="00E21B24" w:rsidP="00E21B24">
      <w:pPr>
        <w:pStyle w:val="BodyText3"/>
        <w:rPr>
          <w:rFonts w:ascii="Arial" w:hAnsi="Arial" w:cs="Arial"/>
          <w:b/>
          <w:bCs/>
          <w:szCs w:val="24"/>
        </w:rPr>
      </w:pPr>
    </w:p>
    <w:p w14:paraId="19272CEB" w14:textId="77777777" w:rsidR="00E21B24" w:rsidRDefault="00E21B24" w:rsidP="00E21B24">
      <w:pPr>
        <w:autoSpaceDE w:val="0"/>
        <w:autoSpaceDN w:val="0"/>
        <w:adjustRightInd w:val="0"/>
        <w:jc w:val="center"/>
        <w:rPr>
          <w:rFonts w:eastAsia="SimSun" w:cs="Arial"/>
          <w:b/>
          <w:bCs/>
        </w:rPr>
      </w:pPr>
      <w:r>
        <w:rPr>
          <w:rFonts w:eastAsia="SimSun" w:cs="Arial"/>
          <w:b/>
          <w:bCs/>
        </w:rPr>
        <w:t>SECTION 5.106</w:t>
      </w:r>
    </w:p>
    <w:p w14:paraId="0EF303D9" w14:textId="77777777" w:rsidR="00E21B24" w:rsidRDefault="00E21B24" w:rsidP="00E21B24">
      <w:pPr>
        <w:autoSpaceDE w:val="0"/>
        <w:autoSpaceDN w:val="0"/>
        <w:adjustRightInd w:val="0"/>
        <w:jc w:val="center"/>
        <w:rPr>
          <w:rFonts w:eastAsia="SimSun" w:cs="Arial"/>
          <w:b/>
          <w:bCs/>
        </w:rPr>
      </w:pPr>
      <w:r>
        <w:rPr>
          <w:rFonts w:eastAsia="SimSun" w:cs="Arial"/>
          <w:b/>
          <w:bCs/>
        </w:rPr>
        <w:t>SITE DEVELOPMENT</w:t>
      </w:r>
    </w:p>
    <w:p w14:paraId="1BE75275" w14:textId="77777777" w:rsidR="00E21B24" w:rsidRDefault="00E21B24" w:rsidP="00E21B24">
      <w:pPr>
        <w:autoSpaceDE w:val="0"/>
        <w:autoSpaceDN w:val="0"/>
        <w:adjustRightInd w:val="0"/>
        <w:rPr>
          <w:rFonts w:eastAsia="SimSun" w:cs="Arial"/>
          <w:b/>
          <w:bCs/>
        </w:rPr>
      </w:pPr>
      <w:r>
        <w:rPr>
          <w:rFonts w:eastAsia="SimSun" w:cs="Arial"/>
          <w:b/>
          <w:bCs/>
        </w:rPr>
        <w:t>. . .</w:t>
      </w:r>
    </w:p>
    <w:p w14:paraId="145315F1" w14:textId="2AFD99BB" w:rsidR="000D6A02" w:rsidRDefault="000D6A02" w:rsidP="00053D4B">
      <w:pPr>
        <w:autoSpaceDE w:val="0"/>
        <w:autoSpaceDN w:val="0"/>
        <w:adjustRightInd w:val="0"/>
        <w:rPr>
          <w:rFonts w:cs="Arial"/>
          <w:color w:val="000000"/>
        </w:rPr>
      </w:pPr>
    </w:p>
    <w:p w14:paraId="0CC81597" w14:textId="77777777" w:rsidR="00D212D9" w:rsidRPr="00A430FC" w:rsidRDefault="00D212D9" w:rsidP="00D212D9">
      <w:pPr>
        <w:rPr>
          <w:rFonts w:cs="Arial"/>
          <w:b/>
          <w:color w:val="000000"/>
        </w:rPr>
      </w:pPr>
    </w:p>
    <w:p w14:paraId="72F0F6AD" w14:textId="77777777" w:rsidR="00D212D9" w:rsidRPr="007946FE" w:rsidRDefault="00D212D9" w:rsidP="00D212D9">
      <w:pPr>
        <w:ind w:left="360"/>
        <w:rPr>
          <w:rFonts w:cs="Arial"/>
          <w:color w:val="000000"/>
        </w:rPr>
      </w:pPr>
      <w:r w:rsidRPr="00A430FC">
        <w:rPr>
          <w:rFonts w:cs="Arial"/>
          <w:b/>
          <w:color w:val="000000"/>
        </w:rPr>
        <w:t>5.106.5.3.5</w:t>
      </w:r>
      <w:r>
        <w:rPr>
          <w:rFonts w:cs="Arial"/>
          <w:b/>
          <w:color w:val="000000"/>
        </w:rPr>
        <w:t xml:space="preserve"> [N] </w:t>
      </w:r>
      <w:r w:rsidRPr="00FA2DBE">
        <w:rPr>
          <w:rFonts w:cs="Arial"/>
          <w:b/>
          <w:color w:val="000000"/>
        </w:rPr>
        <w:t>Future charging spaces.</w:t>
      </w:r>
    </w:p>
    <w:p w14:paraId="21344D3A" w14:textId="77777777" w:rsidR="00D212D9" w:rsidRPr="00A430FC" w:rsidRDefault="00D212D9" w:rsidP="00D212D9">
      <w:pPr>
        <w:ind w:left="360"/>
        <w:rPr>
          <w:rFonts w:cs="Arial"/>
          <w:color w:val="000000"/>
        </w:rPr>
      </w:pPr>
      <w:r w:rsidRPr="00A430FC">
        <w:rPr>
          <w:rFonts w:cs="Arial"/>
          <w:color w:val="000000"/>
        </w:rPr>
        <w:t>Future charging spaces qualify as</w:t>
      </w:r>
      <w:r>
        <w:rPr>
          <w:rFonts w:cs="Arial"/>
          <w:color w:val="000000"/>
        </w:rPr>
        <w:t xml:space="preserve"> </w:t>
      </w:r>
      <w:r>
        <w:rPr>
          <w:rFonts w:cs="Arial"/>
          <w:b/>
          <w:color w:val="000000"/>
        </w:rPr>
        <w:t xml:space="preserve">. . . </w:t>
      </w:r>
      <w:r w:rsidRPr="00A430FC">
        <w:rPr>
          <w:rFonts w:cs="Arial"/>
          <w:color w:val="000000"/>
        </w:rPr>
        <w:t>clean air vehicles.</w:t>
      </w:r>
    </w:p>
    <w:p w14:paraId="6E835FA4" w14:textId="77777777" w:rsidR="00D212D9" w:rsidRPr="00A430FC" w:rsidRDefault="00D212D9" w:rsidP="00D212D9">
      <w:pPr>
        <w:ind w:left="360"/>
        <w:rPr>
          <w:rFonts w:cs="Arial"/>
          <w:color w:val="000000"/>
        </w:rPr>
      </w:pPr>
    </w:p>
    <w:p w14:paraId="5DFF73F2" w14:textId="40F911E9" w:rsidR="008D6FCD" w:rsidRDefault="00D212D9" w:rsidP="00D212D9">
      <w:pPr>
        <w:autoSpaceDE w:val="0"/>
        <w:autoSpaceDN w:val="0"/>
        <w:adjustRightInd w:val="0"/>
        <w:rPr>
          <w:rFonts w:cs="Arial"/>
          <w:color w:val="000000"/>
        </w:rPr>
      </w:pPr>
      <w:r w:rsidRPr="00D81E84">
        <w:rPr>
          <w:rFonts w:cs="Arial"/>
          <w:color w:val="000000"/>
        </w:rPr>
        <w:t>Note: Future electric vehicle charging spaces shall be considered parking spaces and shall count for the total parking spaces required by the local enforcing agencies</w:t>
      </w:r>
    </w:p>
    <w:p w14:paraId="7D50DD89" w14:textId="521DAB0A" w:rsidR="008D6FCD" w:rsidRPr="008D6FCD" w:rsidRDefault="008D6FCD" w:rsidP="00053D4B">
      <w:pPr>
        <w:autoSpaceDE w:val="0"/>
        <w:autoSpaceDN w:val="0"/>
        <w:adjustRightInd w:val="0"/>
        <w:rPr>
          <w:rFonts w:cs="Arial"/>
          <w:b/>
          <w:bCs/>
          <w:color w:val="000000"/>
        </w:rPr>
      </w:pPr>
      <w:r w:rsidRPr="008D6FCD">
        <w:rPr>
          <w:rFonts w:cs="Arial"/>
          <w:b/>
          <w:bCs/>
          <w:color w:val="000000"/>
        </w:rPr>
        <w:t>…</w:t>
      </w:r>
    </w:p>
    <w:p w14:paraId="4B87F023" w14:textId="35428E34" w:rsidR="00137A0D" w:rsidRPr="00E27C9D" w:rsidRDefault="00053D4B" w:rsidP="00137A0D">
      <w:pPr>
        <w:spacing w:before="120"/>
        <w:rPr>
          <w:rFonts w:cs="Arial"/>
          <w:noProof/>
          <w:u w:val="single"/>
        </w:rPr>
      </w:pPr>
      <w:r w:rsidRPr="00E27C9D">
        <w:rPr>
          <w:rFonts w:eastAsia="SimSun" w:cs="Arial"/>
          <w:b/>
          <w:bCs/>
          <w:u w:val="single"/>
        </w:rPr>
        <w:t>5.106.5.</w:t>
      </w:r>
      <w:r w:rsidR="00DB799D" w:rsidRPr="00E27C9D">
        <w:rPr>
          <w:rFonts w:eastAsia="SimSun" w:cs="Arial"/>
          <w:b/>
          <w:bCs/>
          <w:u w:val="single"/>
        </w:rPr>
        <w:t>4</w:t>
      </w:r>
      <w:r w:rsidRPr="00E27C9D">
        <w:rPr>
          <w:rFonts w:eastAsia="SimSun" w:cs="Arial"/>
          <w:b/>
          <w:bCs/>
          <w:u w:val="single"/>
        </w:rPr>
        <w:t xml:space="preserve"> Electric vehicle (EV) charging</w:t>
      </w:r>
      <w:r w:rsidR="00EA50A9" w:rsidRPr="00E27C9D">
        <w:rPr>
          <w:rFonts w:eastAsia="SimSun" w:cs="Arial"/>
          <w:b/>
          <w:bCs/>
          <w:u w:val="single"/>
        </w:rPr>
        <w:t>-Medium-duty and Heavy-duty</w:t>
      </w:r>
      <w:r w:rsidR="00C228F9" w:rsidRPr="00E27C9D">
        <w:rPr>
          <w:rFonts w:eastAsia="SimSun" w:cs="Arial"/>
          <w:b/>
          <w:bCs/>
          <w:u w:val="single"/>
        </w:rPr>
        <w:t xml:space="preserve">. [N] </w:t>
      </w:r>
      <w:r w:rsidR="00137A0D" w:rsidRPr="00E27C9D">
        <w:rPr>
          <w:rFonts w:cs="Arial"/>
          <w:noProof/>
          <w:u w:val="single"/>
        </w:rPr>
        <w:t xml:space="preserve">Construction shall comply with Section 5.106.5.3.1 or Section 5.106.5.3.2 to facilitate future installation of electric vehicle supply equipment (EVSE).  </w:t>
      </w:r>
      <w:r w:rsidR="00EA50A9" w:rsidRPr="00E27C9D">
        <w:rPr>
          <w:rFonts w:cs="Arial"/>
          <w:noProof/>
          <w:u w:val="single"/>
        </w:rPr>
        <w:t>Construction for warehouses, grocery stores and retail stores with planned loading docks, shall also comply with Section 5.106.5.</w:t>
      </w:r>
      <w:r w:rsidR="00BC1B84">
        <w:rPr>
          <w:rFonts w:cs="Arial"/>
          <w:noProof/>
          <w:u w:val="single"/>
        </w:rPr>
        <w:t>4</w:t>
      </w:r>
      <w:r w:rsidR="00EA50A9" w:rsidRPr="00E27C9D">
        <w:rPr>
          <w:rFonts w:cs="Arial"/>
          <w:noProof/>
          <w:u w:val="single"/>
        </w:rPr>
        <w:t>.</w:t>
      </w:r>
      <w:r w:rsidR="00BC1B84">
        <w:rPr>
          <w:rFonts w:cs="Arial"/>
          <w:noProof/>
          <w:u w:val="single"/>
        </w:rPr>
        <w:t>1</w:t>
      </w:r>
      <w:r w:rsidR="00EA50A9" w:rsidRPr="00E27C9D">
        <w:rPr>
          <w:rFonts w:cs="Arial"/>
          <w:noProof/>
          <w:u w:val="single"/>
        </w:rPr>
        <w:t xml:space="preserve"> for future installation of medium-duty and heavy-duty EVSE.</w:t>
      </w:r>
      <w:r w:rsidR="00137A0D" w:rsidRPr="00E27C9D">
        <w:rPr>
          <w:rFonts w:cs="Arial"/>
          <w:noProof/>
          <w:u w:val="single"/>
        </w:rPr>
        <w:t xml:space="preserve"> When EVSE(s) is/are installed, it shall be in accor</w:t>
      </w:r>
      <w:r w:rsidR="00137A0D" w:rsidRPr="00E27C9D">
        <w:rPr>
          <w:rFonts w:cs="Arial"/>
          <w:noProof/>
          <w:u w:val="single"/>
        </w:rPr>
        <w:softHyphen/>
        <w:t xml:space="preserve">dance with the </w:t>
      </w:r>
      <w:r w:rsidR="00137A0D" w:rsidRPr="00E27C9D">
        <w:rPr>
          <w:rFonts w:cs="Arial"/>
          <w:i/>
          <w:iCs/>
          <w:noProof/>
          <w:u w:val="single"/>
        </w:rPr>
        <w:t xml:space="preserve">California Building Code, </w:t>
      </w:r>
      <w:r w:rsidR="00137A0D" w:rsidRPr="00E27C9D">
        <w:rPr>
          <w:rFonts w:cs="Arial"/>
          <w:noProof/>
          <w:u w:val="single"/>
        </w:rPr>
        <w:t xml:space="preserve">the </w:t>
      </w:r>
      <w:r w:rsidR="00137A0D" w:rsidRPr="00E27C9D">
        <w:rPr>
          <w:rFonts w:cs="Arial"/>
          <w:i/>
          <w:iCs/>
          <w:noProof/>
          <w:u w:val="single"/>
        </w:rPr>
        <w:t xml:space="preserve">California Electrical Code </w:t>
      </w:r>
      <w:r w:rsidR="00137A0D" w:rsidRPr="00E27C9D">
        <w:rPr>
          <w:rFonts w:cs="Arial"/>
          <w:noProof/>
          <w:u w:val="single"/>
        </w:rPr>
        <w:t>and as follows:</w:t>
      </w:r>
    </w:p>
    <w:p w14:paraId="77F39694" w14:textId="77777777" w:rsidR="00A57FA6" w:rsidRPr="00CB228B" w:rsidRDefault="00A57FA6" w:rsidP="00A57FA6">
      <w:pPr>
        <w:autoSpaceDE w:val="0"/>
        <w:autoSpaceDN w:val="0"/>
        <w:adjustRightInd w:val="0"/>
        <w:ind w:left="720"/>
        <w:rPr>
          <w:rFonts w:eastAsia="SimSun" w:cs="Arial"/>
          <w:bCs/>
          <w:u w:val="single"/>
        </w:rPr>
      </w:pPr>
    </w:p>
    <w:p w14:paraId="06D2BAAE" w14:textId="45A872D9" w:rsidR="00DA389B" w:rsidRPr="007653B5" w:rsidRDefault="00DA389B" w:rsidP="00DA389B">
      <w:pPr>
        <w:rPr>
          <w:rFonts w:cs="Arial"/>
          <w:b/>
          <w:u w:val="single"/>
        </w:rPr>
      </w:pPr>
      <w:r w:rsidRPr="007653B5">
        <w:rPr>
          <w:rFonts w:cs="Arial"/>
          <w:b/>
          <w:u w:val="single"/>
        </w:rPr>
        <w:t>5.106.5.</w:t>
      </w:r>
      <w:r w:rsidR="00BC1B84">
        <w:rPr>
          <w:rFonts w:cs="Arial"/>
          <w:b/>
          <w:u w:val="single"/>
        </w:rPr>
        <w:t>4</w:t>
      </w:r>
      <w:r w:rsidRPr="007653B5">
        <w:rPr>
          <w:rFonts w:cs="Arial"/>
          <w:b/>
          <w:u w:val="single"/>
        </w:rPr>
        <w:t>.</w:t>
      </w:r>
      <w:r w:rsidR="00BC1B84">
        <w:rPr>
          <w:rFonts w:cs="Arial"/>
          <w:b/>
          <w:u w:val="single"/>
        </w:rPr>
        <w:t>1</w:t>
      </w:r>
      <w:r w:rsidRPr="007653B5">
        <w:rPr>
          <w:rFonts w:cs="Arial"/>
          <w:b/>
          <w:u w:val="single"/>
        </w:rPr>
        <w:t xml:space="preserve"> </w:t>
      </w:r>
      <w:r>
        <w:rPr>
          <w:rFonts w:cs="Arial"/>
          <w:b/>
          <w:u w:val="single"/>
        </w:rPr>
        <w:t xml:space="preserve">Electric Vehicle Charging Requirements for Warehouses, Grocery Stores and </w:t>
      </w:r>
      <w:r w:rsidRPr="007653B5">
        <w:rPr>
          <w:rFonts w:cs="Arial"/>
          <w:b/>
          <w:u w:val="single"/>
        </w:rPr>
        <w:t>Retail Stores</w:t>
      </w:r>
      <w:r>
        <w:rPr>
          <w:rFonts w:cs="Arial"/>
          <w:b/>
          <w:u w:val="single"/>
        </w:rPr>
        <w:t xml:space="preserve"> with Planned Loading Docks </w:t>
      </w:r>
      <w:r w:rsidRPr="007653B5">
        <w:rPr>
          <w:rFonts w:cs="Arial"/>
          <w:b/>
          <w:u w:val="single"/>
        </w:rPr>
        <w:t>[N]</w:t>
      </w:r>
    </w:p>
    <w:p w14:paraId="5D505EAE" w14:textId="77777777" w:rsidR="00DA389B" w:rsidRPr="007653B5" w:rsidRDefault="00DA389B" w:rsidP="00DA389B">
      <w:pPr>
        <w:spacing w:before="100" w:beforeAutospacing="1" w:after="100" w:afterAutospacing="1"/>
        <w:rPr>
          <w:rFonts w:cs="Arial"/>
          <w:noProof/>
          <w:szCs w:val="20"/>
          <w:u w:val="single"/>
        </w:rPr>
      </w:pPr>
      <w:r w:rsidRPr="007653B5">
        <w:rPr>
          <w:rFonts w:cs="Arial"/>
          <w:noProof/>
          <w:szCs w:val="20"/>
          <w:u w:val="single"/>
        </w:rPr>
        <w:t xml:space="preserve">A raceway </w:t>
      </w:r>
      <w:r>
        <w:rPr>
          <w:rFonts w:cs="Arial"/>
          <w:noProof/>
          <w:szCs w:val="20"/>
          <w:u w:val="single"/>
        </w:rPr>
        <w:t xml:space="preserve">and service panel(s) or subpanel(s) shall </w:t>
      </w:r>
      <w:r w:rsidRPr="007653B5">
        <w:rPr>
          <w:rFonts w:cs="Arial"/>
          <w:noProof/>
          <w:szCs w:val="20"/>
          <w:u w:val="single"/>
        </w:rPr>
        <w:t xml:space="preserve">be installed at the time of construction in accordance with the </w:t>
      </w:r>
      <w:r w:rsidRPr="007653B5">
        <w:rPr>
          <w:rFonts w:cs="Arial"/>
          <w:i/>
          <w:noProof/>
          <w:szCs w:val="20"/>
          <w:u w:val="single"/>
        </w:rPr>
        <w:t>California Electrical Code</w:t>
      </w:r>
      <w:r w:rsidRPr="007653B5">
        <w:rPr>
          <w:rFonts w:cs="Arial"/>
          <w:noProof/>
          <w:szCs w:val="20"/>
          <w:u w:val="single"/>
        </w:rPr>
        <w:t>. Construction plans and specifications shall include, but are not limited to, the following:</w:t>
      </w:r>
    </w:p>
    <w:p w14:paraId="6F4D1F43" w14:textId="1BFD422D" w:rsidR="00DA389B" w:rsidRPr="007653B5" w:rsidRDefault="00DA389B" w:rsidP="00DA389B">
      <w:pPr>
        <w:numPr>
          <w:ilvl w:val="0"/>
          <w:numId w:val="25"/>
        </w:numPr>
        <w:spacing w:before="100" w:beforeAutospacing="1" w:after="100" w:afterAutospacing="1"/>
        <w:rPr>
          <w:rFonts w:cs="Arial"/>
          <w:noProof/>
          <w:szCs w:val="20"/>
          <w:u w:val="single"/>
        </w:rPr>
      </w:pPr>
      <w:r w:rsidRPr="007653B5">
        <w:rPr>
          <w:rFonts w:cs="Arial"/>
          <w:noProof/>
          <w:szCs w:val="20"/>
          <w:u w:val="single"/>
        </w:rPr>
        <w:t>The type and location of the EVSE, as specified by the requirements in Table 5.106.5.</w:t>
      </w:r>
      <w:r w:rsidR="00BC1B84">
        <w:rPr>
          <w:rFonts w:cs="Arial"/>
          <w:noProof/>
          <w:szCs w:val="20"/>
          <w:u w:val="single"/>
        </w:rPr>
        <w:t>4</w:t>
      </w:r>
      <w:r w:rsidRPr="007653B5">
        <w:rPr>
          <w:rFonts w:cs="Arial"/>
          <w:noProof/>
          <w:szCs w:val="20"/>
          <w:u w:val="single"/>
        </w:rPr>
        <w:t>.</w:t>
      </w:r>
      <w:r w:rsidR="00BC1B84">
        <w:rPr>
          <w:rFonts w:cs="Arial"/>
          <w:noProof/>
          <w:szCs w:val="20"/>
          <w:u w:val="single"/>
        </w:rPr>
        <w:t>1</w:t>
      </w:r>
      <w:r w:rsidRPr="007653B5">
        <w:rPr>
          <w:rFonts w:cs="Arial"/>
          <w:noProof/>
          <w:szCs w:val="20"/>
          <w:u w:val="single"/>
        </w:rPr>
        <w:t>.</w:t>
      </w:r>
    </w:p>
    <w:p w14:paraId="7CB53650" w14:textId="77777777" w:rsidR="00DA389B" w:rsidRDefault="00DA389B" w:rsidP="00DA389B">
      <w:pPr>
        <w:numPr>
          <w:ilvl w:val="0"/>
          <w:numId w:val="25"/>
        </w:numPr>
        <w:spacing w:before="100" w:beforeAutospacing="1" w:after="100" w:afterAutospacing="1"/>
        <w:rPr>
          <w:rFonts w:cs="Arial"/>
          <w:noProof/>
          <w:szCs w:val="20"/>
          <w:u w:val="single"/>
        </w:rPr>
      </w:pPr>
      <w:r w:rsidRPr="007653B5">
        <w:rPr>
          <w:rFonts w:cs="Arial"/>
          <w:noProof/>
          <w:szCs w:val="20"/>
          <w:u w:val="single"/>
        </w:rPr>
        <w:t>The raceway(s) shall not be less than trade size 4”.</w:t>
      </w:r>
    </w:p>
    <w:p w14:paraId="4EF18755" w14:textId="77777777" w:rsidR="00DA389B" w:rsidRPr="007653B5" w:rsidRDefault="00DA389B" w:rsidP="00DA389B">
      <w:pPr>
        <w:numPr>
          <w:ilvl w:val="0"/>
          <w:numId w:val="25"/>
        </w:numPr>
        <w:spacing w:before="100" w:beforeAutospacing="1" w:after="100" w:afterAutospacing="1"/>
        <w:rPr>
          <w:rFonts w:cs="Arial"/>
          <w:noProof/>
          <w:szCs w:val="20"/>
          <w:u w:val="single"/>
        </w:rPr>
      </w:pPr>
      <w:r w:rsidRPr="007653B5">
        <w:rPr>
          <w:rFonts w:cs="Arial"/>
          <w:noProof/>
          <w:szCs w:val="20"/>
          <w:u w:val="single"/>
        </w:rPr>
        <w:t>Raceway(s) shall originate at a</w:t>
      </w:r>
      <w:r>
        <w:rPr>
          <w:rFonts w:cs="Arial"/>
          <w:noProof/>
          <w:szCs w:val="20"/>
          <w:u w:val="single"/>
        </w:rPr>
        <w:t xml:space="preserve"> main</w:t>
      </w:r>
      <w:r w:rsidRPr="007653B5">
        <w:rPr>
          <w:rFonts w:cs="Arial"/>
          <w:noProof/>
          <w:szCs w:val="20"/>
          <w:u w:val="single"/>
        </w:rPr>
        <w:t xml:space="preserve"> service panel or a subpanel(s) serving the area, and shall terminate in close proximity to the potential future location of the charging equipment for medium- and heavy-duty vehicles</w:t>
      </w:r>
      <w:r>
        <w:rPr>
          <w:rFonts w:cs="Arial"/>
          <w:noProof/>
          <w:szCs w:val="20"/>
          <w:u w:val="single"/>
        </w:rPr>
        <w:t>,</w:t>
      </w:r>
      <w:r w:rsidRPr="007653B5">
        <w:rPr>
          <w:rFonts w:cs="Arial"/>
          <w:noProof/>
          <w:szCs w:val="20"/>
          <w:u w:val="single"/>
        </w:rPr>
        <w:t xml:space="preserve"> and into listed</w:t>
      </w:r>
      <w:r>
        <w:rPr>
          <w:rFonts w:cs="Arial"/>
          <w:noProof/>
          <w:szCs w:val="20"/>
          <w:u w:val="single"/>
        </w:rPr>
        <w:t>,</w:t>
      </w:r>
      <w:r w:rsidRPr="007653B5">
        <w:rPr>
          <w:rFonts w:cs="Arial"/>
          <w:noProof/>
          <w:szCs w:val="20"/>
          <w:u w:val="single"/>
        </w:rPr>
        <w:t xml:space="preserve"> suitable</w:t>
      </w:r>
      <w:r>
        <w:rPr>
          <w:rFonts w:cs="Arial"/>
          <w:noProof/>
          <w:szCs w:val="20"/>
          <w:u w:val="single"/>
        </w:rPr>
        <w:t>,</w:t>
      </w:r>
      <w:r w:rsidRPr="007653B5">
        <w:rPr>
          <w:rFonts w:cs="Arial"/>
          <w:noProof/>
          <w:szCs w:val="20"/>
          <w:u w:val="single"/>
        </w:rPr>
        <w:t xml:space="preserve"> </w:t>
      </w:r>
      <w:r>
        <w:rPr>
          <w:rFonts w:cs="Arial"/>
          <w:noProof/>
          <w:szCs w:val="20"/>
          <w:u w:val="single"/>
        </w:rPr>
        <w:t xml:space="preserve">labeled </w:t>
      </w:r>
      <w:r w:rsidRPr="007653B5">
        <w:rPr>
          <w:rFonts w:cs="Arial"/>
          <w:noProof/>
          <w:szCs w:val="20"/>
          <w:u w:val="single"/>
        </w:rPr>
        <w:t>cabinet(s), box(es), enclosure(s) or equivalent.</w:t>
      </w:r>
    </w:p>
    <w:p w14:paraId="22E1B3DA" w14:textId="77777777" w:rsidR="00DA389B" w:rsidRDefault="00DA389B" w:rsidP="00DA389B">
      <w:pPr>
        <w:numPr>
          <w:ilvl w:val="0"/>
          <w:numId w:val="25"/>
        </w:numPr>
        <w:spacing w:before="100" w:beforeAutospacing="1" w:after="100" w:afterAutospacing="1"/>
        <w:rPr>
          <w:rFonts w:cs="Arial"/>
          <w:bCs/>
          <w:u w:val="single"/>
        </w:rPr>
      </w:pPr>
      <w:r w:rsidRPr="00460915">
        <w:rPr>
          <w:rFonts w:cs="Arial"/>
          <w:bCs/>
          <w:u w:val="single"/>
        </w:rPr>
        <w:t>Plan design shall be based upon future installation of EVSE and additional panel amperage capacity assumes a mix of direct current fast chargers (DCFC) and high-powered level 2 EVSE. Not less than 50 percent of future EVSE shall have raceway that accommodates a minimum of 192kW DCFC at full capacity (generally 480 volts at 400 amperes per charger).</w:t>
      </w:r>
    </w:p>
    <w:p w14:paraId="47BD8238" w14:textId="6B282EE6" w:rsidR="00DA389B" w:rsidRDefault="00DA389B" w:rsidP="00DA389B">
      <w:pPr>
        <w:numPr>
          <w:ilvl w:val="0"/>
          <w:numId w:val="25"/>
        </w:numPr>
        <w:spacing w:before="100" w:beforeAutospacing="1" w:after="100" w:afterAutospacing="1"/>
        <w:rPr>
          <w:rFonts w:cs="Arial"/>
          <w:b/>
        </w:rPr>
      </w:pPr>
      <w:r w:rsidRPr="007653B5">
        <w:rPr>
          <w:rFonts w:cs="Arial"/>
          <w:noProof/>
          <w:szCs w:val="20"/>
          <w:u w:val="single"/>
        </w:rPr>
        <w:t>The service panel and subpanels shall meet the minimum amper</w:t>
      </w:r>
      <w:r>
        <w:rPr>
          <w:rFonts w:cs="Arial"/>
          <w:noProof/>
          <w:szCs w:val="20"/>
          <w:u w:val="single"/>
        </w:rPr>
        <w:t>age</w:t>
      </w:r>
      <w:r w:rsidRPr="007653B5">
        <w:rPr>
          <w:rFonts w:cs="Arial"/>
          <w:noProof/>
          <w:szCs w:val="20"/>
          <w:u w:val="single"/>
        </w:rPr>
        <w:t xml:space="preserve"> in Table 5.106.5.</w:t>
      </w:r>
      <w:r w:rsidR="00BC1B84">
        <w:rPr>
          <w:rFonts w:cs="Arial"/>
          <w:noProof/>
          <w:szCs w:val="20"/>
          <w:u w:val="single"/>
        </w:rPr>
        <w:t>4</w:t>
      </w:r>
      <w:r w:rsidRPr="007653B5">
        <w:rPr>
          <w:rFonts w:cs="Arial"/>
          <w:noProof/>
          <w:szCs w:val="20"/>
          <w:u w:val="single"/>
        </w:rPr>
        <w:t>.</w:t>
      </w:r>
      <w:r w:rsidR="00BC1B84">
        <w:rPr>
          <w:rFonts w:cs="Arial"/>
          <w:noProof/>
          <w:szCs w:val="20"/>
          <w:u w:val="single"/>
        </w:rPr>
        <w:t>1</w:t>
      </w:r>
      <w:r w:rsidRPr="007653B5">
        <w:rPr>
          <w:rFonts w:cs="Arial"/>
          <w:noProof/>
          <w:szCs w:val="20"/>
          <w:u w:val="single"/>
        </w:rPr>
        <w:t xml:space="preserve"> to accommodate the dedicated branch circuits for the future installation of the EVSE.</w:t>
      </w:r>
    </w:p>
    <w:p w14:paraId="4C3977E2" w14:textId="77777777" w:rsidR="00DA389B" w:rsidRPr="007653B5" w:rsidRDefault="00DA389B" w:rsidP="00DA389B">
      <w:pPr>
        <w:rPr>
          <w:rFonts w:cs="Arial"/>
          <w:b/>
        </w:rPr>
      </w:pPr>
    </w:p>
    <w:p w14:paraId="53B8F543" w14:textId="43555CFD" w:rsidR="00DA389B" w:rsidRPr="007653B5" w:rsidRDefault="00DA389B" w:rsidP="00DA389B">
      <w:pPr>
        <w:rPr>
          <w:rFonts w:cs="Arial"/>
          <w:b/>
          <w:noProof/>
          <w:szCs w:val="20"/>
          <w:u w:val="single"/>
        </w:rPr>
      </w:pPr>
      <w:r w:rsidRPr="007653B5">
        <w:rPr>
          <w:rFonts w:cs="Arial"/>
          <w:b/>
          <w:noProof/>
          <w:szCs w:val="20"/>
          <w:u w:val="single"/>
        </w:rPr>
        <w:t>5.106.5.</w:t>
      </w:r>
      <w:r w:rsidR="00BC1B84">
        <w:rPr>
          <w:rFonts w:cs="Arial"/>
          <w:b/>
          <w:noProof/>
          <w:szCs w:val="20"/>
          <w:u w:val="single"/>
        </w:rPr>
        <w:t>4</w:t>
      </w:r>
      <w:r w:rsidRPr="007653B5">
        <w:rPr>
          <w:rFonts w:cs="Arial"/>
          <w:b/>
          <w:noProof/>
          <w:szCs w:val="20"/>
          <w:u w:val="single"/>
        </w:rPr>
        <w:t>.</w:t>
      </w:r>
      <w:r w:rsidR="00BC1B84">
        <w:rPr>
          <w:rFonts w:cs="Arial"/>
          <w:b/>
          <w:noProof/>
          <w:szCs w:val="20"/>
          <w:u w:val="single"/>
        </w:rPr>
        <w:t>2</w:t>
      </w:r>
      <w:r w:rsidRPr="007653B5">
        <w:rPr>
          <w:rFonts w:cs="Arial"/>
          <w:b/>
          <w:noProof/>
          <w:szCs w:val="20"/>
          <w:u w:val="single"/>
        </w:rPr>
        <w:t xml:space="preserve"> Raceway Conduit and Panel Amper</w:t>
      </w:r>
      <w:r>
        <w:rPr>
          <w:rFonts w:cs="Arial"/>
          <w:b/>
          <w:noProof/>
          <w:szCs w:val="20"/>
          <w:u w:val="single"/>
        </w:rPr>
        <w:t>age</w:t>
      </w:r>
      <w:r w:rsidRPr="007653B5">
        <w:rPr>
          <w:rFonts w:cs="Arial"/>
          <w:b/>
          <w:noProof/>
          <w:szCs w:val="20"/>
          <w:u w:val="single"/>
        </w:rPr>
        <w:t xml:space="preserve"> Requirement</w:t>
      </w:r>
      <w:r>
        <w:rPr>
          <w:rFonts w:cs="Arial"/>
          <w:b/>
          <w:noProof/>
          <w:szCs w:val="20"/>
          <w:u w:val="single"/>
        </w:rPr>
        <w:t xml:space="preserve">s </w:t>
      </w:r>
      <w:r w:rsidRPr="007653B5">
        <w:rPr>
          <w:rFonts w:cs="Arial"/>
          <w:b/>
          <w:noProof/>
          <w:szCs w:val="20"/>
          <w:u w:val="single"/>
        </w:rPr>
        <w:t>[N]</w:t>
      </w:r>
    </w:p>
    <w:p w14:paraId="79A5F536" w14:textId="77777777" w:rsidR="00DA389B" w:rsidRPr="007653B5" w:rsidRDefault="00DA389B" w:rsidP="00DA389B">
      <w:pPr>
        <w:rPr>
          <w:rFonts w:cs="Arial"/>
          <w:b/>
          <w:u w:val="single"/>
        </w:rPr>
      </w:pPr>
    </w:p>
    <w:p w14:paraId="6EBD0BB4" w14:textId="50DAD28C" w:rsidR="00DA389B" w:rsidRPr="007653B5" w:rsidRDefault="00DA389B" w:rsidP="00DA389B">
      <w:pPr>
        <w:rPr>
          <w:rFonts w:cs="Arial"/>
        </w:rPr>
      </w:pPr>
      <w:r w:rsidRPr="007653B5">
        <w:rPr>
          <w:rFonts w:cs="Arial"/>
          <w:noProof/>
          <w:szCs w:val="20"/>
          <w:u w:val="single"/>
        </w:rPr>
        <w:t>Table 5.106.5.</w:t>
      </w:r>
      <w:r w:rsidR="007A22D3">
        <w:rPr>
          <w:rFonts w:cs="Arial"/>
          <w:noProof/>
          <w:szCs w:val="20"/>
          <w:u w:val="single"/>
        </w:rPr>
        <w:t>4</w:t>
      </w:r>
      <w:r w:rsidRPr="007653B5">
        <w:rPr>
          <w:rFonts w:cs="Arial"/>
          <w:noProof/>
          <w:szCs w:val="20"/>
          <w:u w:val="single"/>
        </w:rPr>
        <w:t>.</w:t>
      </w:r>
      <w:r w:rsidR="007A22D3">
        <w:rPr>
          <w:rFonts w:cs="Arial"/>
          <w:noProof/>
          <w:szCs w:val="20"/>
          <w:u w:val="single"/>
        </w:rPr>
        <w:t>1</w:t>
      </w:r>
      <w:r w:rsidRPr="007653B5">
        <w:rPr>
          <w:rFonts w:cs="Arial"/>
          <w:noProof/>
          <w:szCs w:val="20"/>
          <w:u w:val="single"/>
        </w:rPr>
        <w:t xml:space="preserve"> shall be used to determine the raceway conduit and panel amperage requirements for the potential future installation of EVSE at warehouses</w:t>
      </w:r>
      <w:r>
        <w:rPr>
          <w:rFonts w:cs="Arial"/>
          <w:noProof/>
          <w:szCs w:val="20"/>
          <w:u w:val="single"/>
        </w:rPr>
        <w:t xml:space="preserve">, </w:t>
      </w:r>
      <w:r w:rsidRPr="007653B5">
        <w:rPr>
          <w:rFonts w:cs="Arial"/>
          <w:noProof/>
          <w:szCs w:val="20"/>
          <w:u w:val="single"/>
        </w:rPr>
        <w:t>grocery stores and retail stores with planned loading docks.</w:t>
      </w:r>
    </w:p>
    <w:p w14:paraId="6576F897" w14:textId="4C3782AF" w:rsidR="00DA389B" w:rsidRPr="007653B5" w:rsidRDefault="00DA389B" w:rsidP="00DA389B">
      <w:pPr>
        <w:spacing w:before="100" w:beforeAutospacing="1" w:after="100" w:afterAutospacing="1"/>
        <w:ind w:left="720"/>
        <w:rPr>
          <w:rFonts w:cs="Arial"/>
          <w:noProof/>
          <w:szCs w:val="20"/>
          <w:u w:val="single"/>
        </w:rPr>
      </w:pPr>
      <w:r w:rsidRPr="007653B5">
        <w:rPr>
          <w:rFonts w:cs="Arial"/>
          <w:noProof/>
          <w:szCs w:val="20"/>
          <w:u w:val="single"/>
        </w:rPr>
        <w:t>Exception: On a case-by-case basis, where the local enforcing agency has evidence suitable for substantiating an adverse impact in the construction cost of the project directly related to the implementation of Section 5.106.5.</w:t>
      </w:r>
      <w:r w:rsidR="00BC1B84">
        <w:rPr>
          <w:rFonts w:cs="Arial"/>
          <w:noProof/>
          <w:szCs w:val="20"/>
          <w:u w:val="single"/>
        </w:rPr>
        <w:t>4</w:t>
      </w:r>
      <w:r w:rsidRPr="007653B5">
        <w:rPr>
          <w:rFonts w:cs="Arial"/>
          <w:noProof/>
          <w:szCs w:val="20"/>
          <w:u w:val="single"/>
        </w:rPr>
        <w:t>.</w:t>
      </w:r>
      <w:r w:rsidR="00BC1B84">
        <w:rPr>
          <w:rFonts w:cs="Arial"/>
          <w:noProof/>
          <w:szCs w:val="20"/>
          <w:u w:val="single"/>
        </w:rPr>
        <w:t>1</w:t>
      </w:r>
      <w:r w:rsidRPr="007653B5">
        <w:rPr>
          <w:rFonts w:cs="Arial"/>
          <w:noProof/>
          <w:szCs w:val="20"/>
          <w:u w:val="single"/>
        </w:rPr>
        <w:t>.</w:t>
      </w:r>
    </w:p>
    <w:p w14:paraId="202BB0F8" w14:textId="5535444E" w:rsidR="00DA389B" w:rsidRPr="00E23FEC" w:rsidRDefault="00DA389B" w:rsidP="00DA389B">
      <w:pPr>
        <w:rPr>
          <w:rFonts w:cs="Arial"/>
          <w:b/>
          <w:noProof/>
        </w:rPr>
      </w:pPr>
      <w:r w:rsidRPr="00E23FEC">
        <w:rPr>
          <w:rFonts w:cs="Arial"/>
          <w:b/>
          <w:noProof/>
          <w:szCs w:val="20"/>
          <w:u w:val="single"/>
        </w:rPr>
        <w:t>TABLE 5.106.5.</w:t>
      </w:r>
      <w:r w:rsidR="00BC1B84">
        <w:rPr>
          <w:rFonts w:cs="Arial"/>
          <w:b/>
          <w:noProof/>
          <w:szCs w:val="20"/>
          <w:u w:val="single"/>
        </w:rPr>
        <w:t>4</w:t>
      </w:r>
      <w:r w:rsidRPr="00E23FEC">
        <w:rPr>
          <w:rFonts w:cs="Arial"/>
          <w:b/>
          <w:noProof/>
          <w:szCs w:val="20"/>
          <w:u w:val="single"/>
        </w:rPr>
        <w:t>.</w:t>
      </w:r>
      <w:r w:rsidR="00BC1B84">
        <w:rPr>
          <w:rFonts w:cs="Arial"/>
          <w:b/>
          <w:noProof/>
          <w:szCs w:val="20"/>
          <w:u w:val="single"/>
        </w:rPr>
        <w:t>1</w:t>
      </w:r>
      <w:r w:rsidRPr="00E23FEC">
        <w:rPr>
          <w:rFonts w:cs="Arial"/>
          <w:b/>
          <w:noProof/>
          <w:szCs w:val="20"/>
          <w:u w:val="single"/>
        </w:rPr>
        <w:t>:</w:t>
      </w:r>
      <w:r w:rsidRPr="00E23FEC">
        <w:rPr>
          <w:rFonts w:cs="Arial"/>
          <w:b/>
          <w:noProof/>
          <w:u w:val="single"/>
        </w:rPr>
        <w:t xml:space="preserve"> </w:t>
      </w:r>
      <w:r w:rsidRPr="00E23FEC">
        <w:rPr>
          <w:rFonts w:cs="Arial"/>
          <w:b/>
          <w:noProof/>
          <w:szCs w:val="20"/>
          <w:u w:val="single"/>
        </w:rPr>
        <w:t>Raceway Conduit and Panel Amperage Requirements</w:t>
      </w:r>
      <w:r>
        <w:rPr>
          <w:rFonts w:cs="Arial"/>
          <w:b/>
          <w:noProof/>
          <w:szCs w:val="20"/>
          <w:u w:val="single"/>
        </w:rPr>
        <w:t xml:space="preserve"> [N]</w:t>
      </w:r>
    </w:p>
    <w:p w14:paraId="4730D417" w14:textId="77777777" w:rsidR="00DA389B" w:rsidRPr="007653B5" w:rsidRDefault="00DA389B" w:rsidP="00DA389B">
      <w:pPr>
        <w:rPr>
          <w:rFonts w:cs="Arial"/>
        </w:rPr>
      </w:pPr>
    </w:p>
    <w:tbl>
      <w:tblPr>
        <w:tblW w:w="931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062"/>
        <w:gridCol w:w="1658"/>
        <w:gridCol w:w="88"/>
        <w:gridCol w:w="1747"/>
        <w:gridCol w:w="1852"/>
        <w:gridCol w:w="11"/>
        <w:gridCol w:w="23"/>
        <w:gridCol w:w="1840"/>
        <w:gridCol w:w="30"/>
      </w:tblGrid>
      <w:tr w:rsidR="001B5623" w:rsidRPr="00EB3D41" w14:paraId="028119E7" w14:textId="77777777" w:rsidTr="0037641C">
        <w:trPr>
          <w:trHeight w:val="277"/>
          <w:tblHeader/>
        </w:trPr>
        <w:tc>
          <w:tcPr>
            <w:tcW w:w="2062" w:type="dxa"/>
            <w:tcBorders>
              <w:top w:val="single" w:sz="6" w:space="0" w:color="auto"/>
              <w:left w:val="single" w:sz="6" w:space="0" w:color="auto"/>
              <w:bottom w:val="single" w:sz="6" w:space="0" w:color="auto"/>
              <w:right w:val="single" w:sz="6" w:space="0" w:color="auto"/>
            </w:tcBorders>
            <w:shd w:val="clear" w:color="auto" w:fill="auto"/>
          </w:tcPr>
          <w:p w14:paraId="37454076" w14:textId="77777777" w:rsidR="001B5623" w:rsidRPr="00EB3D41" w:rsidRDefault="001B5623" w:rsidP="00CB33A7">
            <w:pPr>
              <w:rPr>
                <w:rFonts w:cs="Arial"/>
                <w:bCs/>
                <w:u w:val="single"/>
              </w:rPr>
            </w:pPr>
          </w:p>
        </w:tc>
        <w:tc>
          <w:tcPr>
            <w:tcW w:w="1746" w:type="dxa"/>
            <w:gridSpan w:val="2"/>
            <w:tcBorders>
              <w:top w:val="single" w:sz="6" w:space="0" w:color="auto"/>
              <w:left w:val="nil"/>
              <w:bottom w:val="single" w:sz="6" w:space="0" w:color="auto"/>
              <w:right w:val="nil"/>
            </w:tcBorders>
            <w:shd w:val="clear" w:color="auto" w:fill="auto"/>
          </w:tcPr>
          <w:p w14:paraId="535410FB" w14:textId="77777777" w:rsidR="001B5623" w:rsidRPr="00EB3D41" w:rsidRDefault="001B5623" w:rsidP="00CB33A7">
            <w:pPr>
              <w:jc w:val="center"/>
              <w:rPr>
                <w:rFonts w:cs="Arial"/>
                <w:bCs/>
                <w:u w:val="single"/>
              </w:rPr>
            </w:pPr>
            <w:r w:rsidRPr="00EB3D41">
              <w:rPr>
                <w:rFonts w:cs="Arial"/>
                <w:bCs/>
                <w:u w:val="single"/>
              </w:rPr>
              <w:t>Warehouse</w:t>
            </w:r>
          </w:p>
        </w:tc>
        <w:tc>
          <w:tcPr>
            <w:tcW w:w="1747" w:type="dxa"/>
            <w:tcBorders>
              <w:top w:val="single" w:sz="6" w:space="0" w:color="auto"/>
              <w:left w:val="nil"/>
              <w:bottom w:val="single" w:sz="6" w:space="0" w:color="auto"/>
              <w:right w:val="single" w:sz="6" w:space="0" w:color="auto"/>
            </w:tcBorders>
            <w:shd w:val="clear" w:color="auto" w:fill="auto"/>
          </w:tcPr>
          <w:p w14:paraId="76C6BAFE" w14:textId="4AF27BBE" w:rsidR="001B5623" w:rsidRPr="001B5623" w:rsidRDefault="001B5623" w:rsidP="00CB33A7">
            <w:pPr>
              <w:jc w:val="center"/>
              <w:rPr>
                <w:rFonts w:cs="Arial"/>
                <w:bCs/>
                <w:u w:val="single"/>
              </w:rPr>
            </w:pPr>
            <w:r w:rsidRPr="001B5623">
              <w:rPr>
                <w:rFonts w:cs="Arial"/>
                <w:bCs/>
                <w:color w:val="FFFFFF" w:themeColor="background1"/>
                <w:u w:val="single"/>
              </w:rPr>
              <w:t>Warehouse</w:t>
            </w:r>
          </w:p>
        </w:tc>
        <w:tc>
          <w:tcPr>
            <w:tcW w:w="1863" w:type="dxa"/>
            <w:gridSpan w:val="2"/>
            <w:tcBorders>
              <w:top w:val="single" w:sz="6" w:space="0" w:color="auto"/>
              <w:left w:val="nil"/>
              <w:bottom w:val="single" w:sz="6" w:space="0" w:color="auto"/>
              <w:right w:val="nil"/>
            </w:tcBorders>
          </w:tcPr>
          <w:p w14:paraId="030D4027" w14:textId="77777777" w:rsidR="001B5623" w:rsidRPr="00EB3D41" w:rsidRDefault="001B5623" w:rsidP="00CB33A7">
            <w:pPr>
              <w:jc w:val="center"/>
              <w:rPr>
                <w:rFonts w:cs="Arial"/>
                <w:bCs/>
                <w:u w:val="single"/>
              </w:rPr>
            </w:pPr>
            <w:r w:rsidRPr="00EB3D41">
              <w:rPr>
                <w:rFonts w:cs="Arial"/>
                <w:bCs/>
                <w:u w:val="single"/>
              </w:rPr>
              <w:t>Grocery/Retail Store</w:t>
            </w:r>
          </w:p>
        </w:tc>
        <w:tc>
          <w:tcPr>
            <w:tcW w:w="1863" w:type="dxa"/>
            <w:gridSpan w:val="2"/>
            <w:tcBorders>
              <w:top w:val="single" w:sz="6" w:space="0" w:color="auto"/>
              <w:left w:val="nil"/>
              <w:bottom w:val="single" w:sz="6" w:space="0" w:color="auto"/>
              <w:right w:val="nil"/>
            </w:tcBorders>
          </w:tcPr>
          <w:p w14:paraId="41009118" w14:textId="48CB1512" w:rsidR="001B5623" w:rsidRPr="00EB3D41" w:rsidRDefault="001B5623" w:rsidP="00CB33A7">
            <w:pPr>
              <w:jc w:val="center"/>
              <w:rPr>
                <w:rFonts w:cs="Arial"/>
                <w:bCs/>
                <w:u w:val="single"/>
              </w:rPr>
            </w:pPr>
            <w:r w:rsidRPr="001B5623">
              <w:rPr>
                <w:rFonts w:cs="Arial"/>
                <w:bCs/>
                <w:color w:val="FFFFFF" w:themeColor="background1"/>
                <w:u w:val="single"/>
              </w:rPr>
              <w:t>Grocery/Retail Store</w:t>
            </w:r>
          </w:p>
        </w:tc>
        <w:tc>
          <w:tcPr>
            <w:tcW w:w="30" w:type="dxa"/>
            <w:tcBorders>
              <w:top w:val="single" w:sz="6" w:space="0" w:color="auto"/>
              <w:left w:val="nil"/>
              <w:bottom w:val="single" w:sz="6" w:space="0" w:color="auto"/>
              <w:right w:val="single" w:sz="6" w:space="0" w:color="auto"/>
            </w:tcBorders>
          </w:tcPr>
          <w:p w14:paraId="4DCB1212" w14:textId="77777777" w:rsidR="001B5623" w:rsidRPr="00EB3D41" w:rsidRDefault="001B5623" w:rsidP="00CB33A7">
            <w:pPr>
              <w:rPr>
                <w:rFonts w:cs="Arial"/>
                <w:bCs/>
                <w:u w:val="single"/>
              </w:rPr>
            </w:pPr>
          </w:p>
        </w:tc>
      </w:tr>
      <w:tr w:rsidR="00DA389B" w:rsidRPr="00EB3D41" w14:paraId="28539EB9" w14:textId="77777777" w:rsidTr="00CB33A7">
        <w:trPr>
          <w:trHeight w:val="277"/>
        </w:trPr>
        <w:tc>
          <w:tcPr>
            <w:tcW w:w="2062" w:type="dxa"/>
            <w:tcBorders>
              <w:top w:val="single" w:sz="6" w:space="0" w:color="auto"/>
              <w:left w:val="single" w:sz="6" w:space="0" w:color="auto"/>
              <w:bottom w:val="single" w:sz="6" w:space="0" w:color="auto"/>
              <w:right w:val="single" w:sz="6" w:space="0" w:color="auto"/>
            </w:tcBorders>
            <w:shd w:val="clear" w:color="auto" w:fill="auto"/>
            <w:hideMark/>
          </w:tcPr>
          <w:p w14:paraId="2DCB72D5" w14:textId="77777777" w:rsidR="00DA389B" w:rsidRPr="00EB3D41" w:rsidRDefault="00DA389B" w:rsidP="00CB33A7">
            <w:pPr>
              <w:rPr>
                <w:rFonts w:cs="Arial"/>
                <w:bCs/>
                <w:u w:val="single"/>
              </w:rPr>
            </w:pPr>
            <w:r w:rsidRPr="00EB3D41">
              <w:rPr>
                <w:rFonts w:cs="Arial"/>
                <w:bCs/>
                <w:u w:val="single"/>
              </w:rPr>
              <w:t>Floor Space Size (Ft</w:t>
            </w:r>
            <w:r w:rsidRPr="00EB3D41">
              <w:rPr>
                <w:rFonts w:cs="Arial"/>
                <w:bCs/>
                <w:u w:val="single"/>
                <w:vertAlign w:val="superscript"/>
              </w:rPr>
              <w:t>2</w:t>
            </w:r>
            <w:r w:rsidRPr="00EB3D41">
              <w:rPr>
                <w:rFonts w:cs="Arial"/>
                <w:bCs/>
                <w:u w:val="single"/>
              </w:rPr>
              <w:t>) </w:t>
            </w:r>
          </w:p>
        </w:tc>
        <w:tc>
          <w:tcPr>
            <w:tcW w:w="1658" w:type="dxa"/>
            <w:tcBorders>
              <w:top w:val="single" w:sz="6" w:space="0" w:color="auto"/>
              <w:left w:val="nil"/>
              <w:bottom w:val="single" w:sz="6" w:space="0" w:color="auto"/>
              <w:right w:val="single" w:sz="6" w:space="0" w:color="auto"/>
            </w:tcBorders>
            <w:shd w:val="clear" w:color="auto" w:fill="auto"/>
            <w:hideMark/>
          </w:tcPr>
          <w:p w14:paraId="71012CE5" w14:textId="77777777" w:rsidR="00DA389B" w:rsidRPr="00EB3D41" w:rsidRDefault="00DA389B" w:rsidP="00CB33A7">
            <w:pPr>
              <w:jc w:val="center"/>
              <w:rPr>
                <w:rFonts w:cs="Arial"/>
                <w:bCs/>
                <w:u w:val="single"/>
              </w:rPr>
            </w:pPr>
            <w:r w:rsidRPr="00EB3D41">
              <w:rPr>
                <w:rFonts w:cs="Arial"/>
                <w:bCs/>
                <w:u w:val="single"/>
              </w:rPr>
              <w:t>Number of Raceway 4” Conduits Required</w:t>
            </w:r>
          </w:p>
        </w:tc>
        <w:tc>
          <w:tcPr>
            <w:tcW w:w="1835" w:type="dxa"/>
            <w:gridSpan w:val="2"/>
            <w:tcBorders>
              <w:top w:val="single" w:sz="6" w:space="0" w:color="auto"/>
              <w:left w:val="nil"/>
              <w:bottom w:val="single" w:sz="6" w:space="0" w:color="auto"/>
              <w:right w:val="single" w:sz="6" w:space="0" w:color="auto"/>
            </w:tcBorders>
            <w:shd w:val="clear" w:color="auto" w:fill="auto"/>
            <w:hideMark/>
          </w:tcPr>
          <w:p w14:paraId="55244407" w14:textId="77777777" w:rsidR="00DA389B" w:rsidRPr="00EB3D41" w:rsidRDefault="00DA389B" w:rsidP="00CB33A7">
            <w:pPr>
              <w:jc w:val="center"/>
              <w:rPr>
                <w:rFonts w:cs="Arial"/>
                <w:bCs/>
                <w:u w:val="single"/>
              </w:rPr>
            </w:pPr>
            <w:r w:rsidRPr="00EB3D41">
              <w:rPr>
                <w:rFonts w:cs="Arial"/>
                <w:bCs/>
                <w:u w:val="single"/>
              </w:rPr>
              <w:t>Additional Panel Amperage Capacity Required</w:t>
            </w:r>
          </w:p>
        </w:tc>
        <w:tc>
          <w:tcPr>
            <w:tcW w:w="1852" w:type="dxa"/>
            <w:tcBorders>
              <w:top w:val="single" w:sz="6" w:space="0" w:color="auto"/>
              <w:left w:val="nil"/>
              <w:bottom w:val="single" w:sz="6" w:space="0" w:color="auto"/>
              <w:right w:val="nil"/>
            </w:tcBorders>
          </w:tcPr>
          <w:p w14:paraId="6B529DAD" w14:textId="77777777" w:rsidR="00DA389B" w:rsidRPr="00EB3D41" w:rsidRDefault="00DA389B" w:rsidP="00CB33A7">
            <w:pPr>
              <w:jc w:val="center"/>
              <w:rPr>
                <w:rFonts w:cs="Arial"/>
                <w:bCs/>
                <w:u w:val="single"/>
              </w:rPr>
            </w:pPr>
            <w:r w:rsidRPr="00EB3D41">
              <w:rPr>
                <w:rFonts w:cs="Arial"/>
                <w:bCs/>
                <w:u w:val="single"/>
              </w:rPr>
              <w:t>Number of Raceway 4” Conduits Required</w:t>
            </w:r>
          </w:p>
        </w:tc>
        <w:tc>
          <w:tcPr>
            <w:tcW w:w="34" w:type="dxa"/>
            <w:gridSpan w:val="2"/>
            <w:tcBorders>
              <w:top w:val="single" w:sz="6" w:space="0" w:color="auto"/>
              <w:left w:val="nil"/>
              <w:bottom w:val="single" w:sz="6" w:space="0" w:color="auto"/>
              <w:right w:val="single" w:sz="6" w:space="0" w:color="auto"/>
            </w:tcBorders>
          </w:tcPr>
          <w:p w14:paraId="5B77ED95" w14:textId="77777777" w:rsidR="00DA389B" w:rsidRPr="00EB3D41" w:rsidRDefault="00DA389B" w:rsidP="00CB33A7">
            <w:pPr>
              <w:jc w:val="center"/>
              <w:rPr>
                <w:rFonts w:cs="Arial"/>
                <w:bCs/>
                <w:u w:val="single"/>
              </w:rPr>
            </w:pPr>
          </w:p>
        </w:tc>
        <w:tc>
          <w:tcPr>
            <w:tcW w:w="1840" w:type="dxa"/>
            <w:tcBorders>
              <w:top w:val="single" w:sz="6" w:space="0" w:color="auto"/>
              <w:left w:val="nil"/>
              <w:bottom w:val="single" w:sz="6" w:space="0" w:color="auto"/>
              <w:right w:val="nil"/>
            </w:tcBorders>
          </w:tcPr>
          <w:p w14:paraId="22E25129" w14:textId="77777777" w:rsidR="00DA389B" w:rsidRPr="00EB3D41" w:rsidRDefault="00DA389B" w:rsidP="00CB33A7">
            <w:pPr>
              <w:jc w:val="center"/>
              <w:rPr>
                <w:rFonts w:cs="Arial"/>
                <w:bCs/>
                <w:u w:val="single"/>
              </w:rPr>
            </w:pPr>
            <w:r w:rsidRPr="00EB3D41">
              <w:rPr>
                <w:rFonts w:cs="Arial"/>
                <w:bCs/>
                <w:u w:val="single"/>
              </w:rPr>
              <w:t>Additional Panel Amperage Capacity Required</w:t>
            </w:r>
          </w:p>
        </w:tc>
        <w:tc>
          <w:tcPr>
            <w:tcW w:w="30" w:type="dxa"/>
            <w:tcBorders>
              <w:top w:val="single" w:sz="6" w:space="0" w:color="auto"/>
              <w:left w:val="nil"/>
              <w:bottom w:val="single" w:sz="6" w:space="0" w:color="auto"/>
              <w:right w:val="single" w:sz="6" w:space="0" w:color="auto"/>
            </w:tcBorders>
          </w:tcPr>
          <w:p w14:paraId="5F50582D" w14:textId="5393C738" w:rsidR="00DA389B" w:rsidRPr="00EB3D41" w:rsidRDefault="001B5623" w:rsidP="00CB33A7">
            <w:pPr>
              <w:rPr>
                <w:rFonts w:cs="Arial"/>
                <w:bCs/>
                <w:u w:val="single"/>
              </w:rPr>
            </w:pPr>
            <w:r>
              <w:rPr>
                <w:rFonts w:cs="Arial"/>
                <w:bCs/>
                <w:u w:val="single"/>
              </w:rPr>
              <w:t>q</w:t>
            </w:r>
          </w:p>
        </w:tc>
      </w:tr>
      <w:tr w:rsidR="00DA389B" w:rsidRPr="00EB3D41" w14:paraId="36A367AB" w14:textId="77777777" w:rsidTr="00CB33A7">
        <w:trPr>
          <w:trHeight w:val="118"/>
        </w:trPr>
        <w:tc>
          <w:tcPr>
            <w:tcW w:w="2062" w:type="dxa"/>
            <w:tcBorders>
              <w:top w:val="nil"/>
              <w:left w:val="single" w:sz="6" w:space="0" w:color="auto"/>
              <w:bottom w:val="single" w:sz="6" w:space="0" w:color="auto"/>
              <w:right w:val="single" w:sz="6" w:space="0" w:color="auto"/>
            </w:tcBorders>
            <w:shd w:val="clear" w:color="auto" w:fill="auto"/>
            <w:vAlign w:val="center"/>
            <w:hideMark/>
          </w:tcPr>
          <w:p w14:paraId="2AFCFA06" w14:textId="77777777" w:rsidR="00DA389B" w:rsidRPr="00EB3D41" w:rsidRDefault="00DA389B" w:rsidP="00CB33A7">
            <w:pPr>
              <w:rPr>
                <w:rFonts w:cs="Arial"/>
                <w:bCs/>
                <w:u w:val="single"/>
              </w:rPr>
            </w:pPr>
            <w:r w:rsidRPr="00EB3D41">
              <w:rPr>
                <w:rFonts w:cs="Arial"/>
                <w:bCs/>
                <w:u w:val="single"/>
              </w:rPr>
              <w:t>10,000 - 25,000 </w:t>
            </w:r>
          </w:p>
        </w:tc>
        <w:tc>
          <w:tcPr>
            <w:tcW w:w="1658" w:type="dxa"/>
            <w:tcBorders>
              <w:top w:val="nil"/>
              <w:left w:val="nil"/>
              <w:bottom w:val="single" w:sz="6" w:space="0" w:color="auto"/>
              <w:right w:val="single" w:sz="6" w:space="0" w:color="auto"/>
            </w:tcBorders>
            <w:shd w:val="clear" w:color="auto" w:fill="auto"/>
            <w:vAlign w:val="center"/>
            <w:hideMark/>
          </w:tcPr>
          <w:p w14:paraId="4610715A" w14:textId="77777777" w:rsidR="00DA389B" w:rsidRPr="00EB3D41" w:rsidRDefault="00DA389B" w:rsidP="00CB33A7">
            <w:pPr>
              <w:jc w:val="center"/>
              <w:rPr>
                <w:rFonts w:cs="Arial"/>
                <w:bCs/>
                <w:u w:val="single"/>
              </w:rPr>
            </w:pPr>
            <w:r w:rsidRPr="00EB3D41">
              <w:rPr>
                <w:rFonts w:cs="Arial"/>
                <w:bCs/>
                <w:u w:val="single"/>
              </w:rPr>
              <w:t>2</w:t>
            </w:r>
          </w:p>
        </w:tc>
        <w:tc>
          <w:tcPr>
            <w:tcW w:w="1835" w:type="dxa"/>
            <w:gridSpan w:val="2"/>
            <w:tcBorders>
              <w:top w:val="nil"/>
              <w:left w:val="nil"/>
              <w:bottom w:val="single" w:sz="6" w:space="0" w:color="auto"/>
              <w:right w:val="single" w:sz="6" w:space="0" w:color="auto"/>
            </w:tcBorders>
            <w:shd w:val="clear" w:color="auto" w:fill="auto"/>
            <w:vAlign w:val="center"/>
            <w:hideMark/>
          </w:tcPr>
          <w:p w14:paraId="7FD953DF" w14:textId="77777777" w:rsidR="00DA389B" w:rsidRPr="00EB3D41" w:rsidRDefault="00DA389B" w:rsidP="00CB33A7">
            <w:pPr>
              <w:jc w:val="center"/>
              <w:rPr>
                <w:rFonts w:cs="Arial"/>
                <w:bCs/>
                <w:u w:val="single"/>
              </w:rPr>
            </w:pPr>
            <w:r w:rsidRPr="00EB3D41">
              <w:rPr>
                <w:rFonts w:cs="Arial"/>
                <w:bCs/>
                <w:u w:val="single"/>
              </w:rPr>
              <w:t>2,400</w:t>
            </w:r>
          </w:p>
        </w:tc>
        <w:tc>
          <w:tcPr>
            <w:tcW w:w="1852" w:type="dxa"/>
            <w:tcBorders>
              <w:top w:val="nil"/>
              <w:left w:val="nil"/>
              <w:bottom w:val="single" w:sz="6" w:space="0" w:color="auto"/>
              <w:right w:val="nil"/>
            </w:tcBorders>
            <w:vAlign w:val="center"/>
          </w:tcPr>
          <w:p w14:paraId="4F738B78" w14:textId="77777777" w:rsidR="00DA389B" w:rsidRPr="00EB3D41" w:rsidRDefault="00DA389B" w:rsidP="00CB33A7">
            <w:pPr>
              <w:jc w:val="center"/>
              <w:rPr>
                <w:rFonts w:cs="Arial"/>
                <w:bCs/>
                <w:u w:val="single"/>
              </w:rPr>
            </w:pPr>
            <w:r w:rsidRPr="00EB3D41">
              <w:rPr>
                <w:rFonts w:cs="Arial"/>
                <w:bCs/>
                <w:u w:val="single"/>
              </w:rPr>
              <w:t>1</w:t>
            </w:r>
          </w:p>
        </w:tc>
        <w:tc>
          <w:tcPr>
            <w:tcW w:w="34" w:type="dxa"/>
            <w:gridSpan w:val="2"/>
            <w:tcBorders>
              <w:top w:val="nil"/>
              <w:left w:val="nil"/>
              <w:bottom w:val="single" w:sz="6" w:space="0" w:color="auto"/>
              <w:right w:val="single" w:sz="6" w:space="0" w:color="auto"/>
            </w:tcBorders>
          </w:tcPr>
          <w:p w14:paraId="1EBA655E" w14:textId="77777777" w:rsidR="00DA389B" w:rsidRPr="00EB3D41" w:rsidRDefault="00DA389B" w:rsidP="00CB33A7">
            <w:pPr>
              <w:jc w:val="center"/>
              <w:rPr>
                <w:rFonts w:cs="Arial"/>
                <w:bCs/>
                <w:u w:val="single"/>
              </w:rPr>
            </w:pPr>
          </w:p>
        </w:tc>
        <w:tc>
          <w:tcPr>
            <w:tcW w:w="1840" w:type="dxa"/>
            <w:tcBorders>
              <w:top w:val="nil"/>
              <w:left w:val="nil"/>
              <w:bottom w:val="single" w:sz="6" w:space="0" w:color="auto"/>
              <w:right w:val="nil"/>
            </w:tcBorders>
            <w:vAlign w:val="center"/>
          </w:tcPr>
          <w:p w14:paraId="6FCF9AC4" w14:textId="77777777" w:rsidR="00DA389B" w:rsidRPr="00EB3D41" w:rsidRDefault="00DA389B" w:rsidP="00CB33A7">
            <w:pPr>
              <w:jc w:val="center"/>
              <w:rPr>
                <w:rFonts w:cs="Arial"/>
                <w:bCs/>
                <w:u w:val="single"/>
              </w:rPr>
            </w:pPr>
            <w:r w:rsidRPr="00EB3D41">
              <w:rPr>
                <w:rFonts w:cs="Arial"/>
                <w:bCs/>
                <w:u w:val="single"/>
              </w:rPr>
              <w:t>1,200</w:t>
            </w:r>
          </w:p>
        </w:tc>
        <w:tc>
          <w:tcPr>
            <w:tcW w:w="30" w:type="dxa"/>
            <w:tcBorders>
              <w:top w:val="nil"/>
              <w:left w:val="nil"/>
              <w:bottom w:val="single" w:sz="6" w:space="0" w:color="auto"/>
              <w:right w:val="single" w:sz="6" w:space="0" w:color="auto"/>
            </w:tcBorders>
          </w:tcPr>
          <w:p w14:paraId="0A714652" w14:textId="77777777" w:rsidR="00DA389B" w:rsidRPr="00EB3D41" w:rsidRDefault="00DA389B" w:rsidP="00CB33A7">
            <w:pPr>
              <w:rPr>
                <w:rFonts w:cs="Arial"/>
                <w:bCs/>
                <w:u w:val="single"/>
              </w:rPr>
            </w:pPr>
          </w:p>
        </w:tc>
      </w:tr>
      <w:tr w:rsidR="00DA389B" w:rsidRPr="00EB3D41" w14:paraId="228B83E5" w14:textId="77777777" w:rsidTr="00CB33A7">
        <w:trPr>
          <w:trHeight w:val="118"/>
        </w:trPr>
        <w:tc>
          <w:tcPr>
            <w:tcW w:w="2062" w:type="dxa"/>
            <w:tcBorders>
              <w:top w:val="nil"/>
              <w:left w:val="single" w:sz="6" w:space="0" w:color="auto"/>
              <w:bottom w:val="single" w:sz="6" w:space="0" w:color="auto"/>
              <w:right w:val="single" w:sz="6" w:space="0" w:color="auto"/>
            </w:tcBorders>
            <w:shd w:val="clear" w:color="auto" w:fill="auto"/>
            <w:vAlign w:val="center"/>
            <w:hideMark/>
          </w:tcPr>
          <w:p w14:paraId="35CCE795" w14:textId="77777777" w:rsidR="00DA389B" w:rsidRPr="00EB3D41" w:rsidRDefault="00DA389B" w:rsidP="00CB33A7">
            <w:pPr>
              <w:rPr>
                <w:rFonts w:cs="Arial"/>
                <w:bCs/>
                <w:u w:val="single"/>
              </w:rPr>
            </w:pPr>
            <w:r w:rsidRPr="00EB3D41">
              <w:rPr>
                <w:rFonts w:cs="Arial"/>
                <w:bCs/>
                <w:u w:val="single"/>
              </w:rPr>
              <w:t>25,001 – 50,000 </w:t>
            </w:r>
          </w:p>
        </w:tc>
        <w:tc>
          <w:tcPr>
            <w:tcW w:w="1658" w:type="dxa"/>
            <w:tcBorders>
              <w:top w:val="nil"/>
              <w:left w:val="nil"/>
              <w:bottom w:val="single" w:sz="6" w:space="0" w:color="auto"/>
              <w:right w:val="single" w:sz="6" w:space="0" w:color="auto"/>
            </w:tcBorders>
            <w:shd w:val="clear" w:color="auto" w:fill="auto"/>
            <w:vAlign w:val="center"/>
            <w:hideMark/>
          </w:tcPr>
          <w:p w14:paraId="10DD1E84" w14:textId="77777777" w:rsidR="00DA389B" w:rsidRPr="00EB3D41" w:rsidRDefault="00DA389B" w:rsidP="00CB33A7">
            <w:pPr>
              <w:jc w:val="center"/>
              <w:rPr>
                <w:rFonts w:cs="Arial"/>
                <w:bCs/>
                <w:u w:val="single"/>
              </w:rPr>
            </w:pPr>
            <w:r w:rsidRPr="00EB3D41">
              <w:rPr>
                <w:rFonts w:cs="Arial"/>
                <w:bCs/>
                <w:u w:val="single"/>
              </w:rPr>
              <w:t>4</w:t>
            </w:r>
          </w:p>
        </w:tc>
        <w:tc>
          <w:tcPr>
            <w:tcW w:w="1835" w:type="dxa"/>
            <w:gridSpan w:val="2"/>
            <w:tcBorders>
              <w:top w:val="nil"/>
              <w:left w:val="nil"/>
              <w:bottom w:val="single" w:sz="6" w:space="0" w:color="auto"/>
              <w:right w:val="single" w:sz="6" w:space="0" w:color="auto"/>
            </w:tcBorders>
            <w:shd w:val="clear" w:color="auto" w:fill="auto"/>
            <w:vAlign w:val="center"/>
            <w:hideMark/>
          </w:tcPr>
          <w:p w14:paraId="0DE86A33" w14:textId="77777777" w:rsidR="00DA389B" w:rsidRPr="00EB3D41" w:rsidRDefault="00DA389B" w:rsidP="00CB33A7">
            <w:pPr>
              <w:jc w:val="center"/>
              <w:rPr>
                <w:rFonts w:cs="Arial"/>
                <w:bCs/>
                <w:u w:val="single"/>
              </w:rPr>
            </w:pPr>
            <w:r w:rsidRPr="00EB3D41">
              <w:rPr>
                <w:rFonts w:cs="Arial"/>
                <w:bCs/>
                <w:u w:val="single"/>
              </w:rPr>
              <w:t>5,120</w:t>
            </w:r>
          </w:p>
        </w:tc>
        <w:tc>
          <w:tcPr>
            <w:tcW w:w="1852" w:type="dxa"/>
            <w:tcBorders>
              <w:top w:val="nil"/>
              <w:left w:val="nil"/>
              <w:bottom w:val="single" w:sz="6" w:space="0" w:color="auto"/>
              <w:right w:val="nil"/>
            </w:tcBorders>
            <w:vAlign w:val="center"/>
          </w:tcPr>
          <w:p w14:paraId="283EDB81" w14:textId="77777777" w:rsidR="00DA389B" w:rsidRPr="00EB3D41" w:rsidRDefault="00DA389B" w:rsidP="00CB33A7">
            <w:pPr>
              <w:jc w:val="center"/>
              <w:rPr>
                <w:rFonts w:cs="Arial"/>
                <w:bCs/>
                <w:u w:val="single"/>
              </w:rPr>
            </w:pPr>
            <w:r w:rsidRPr="00EB3D41">
              <w:rPr>
                <w:rFonts w:cs="Arial"/>
                <w:bCs/>
                <w:u w:val="single"/>
              </w:rPr>
              <w:t>2</w:t>
            </w:r>
          </w:p>
        </w:tc>
        <w:tc>
          <w:tcPr>
            <w:tcW w:w="34" w:type="dxa"/>
            <w:gridSpan w:val="2"/>
            <w:tcBorders>
              <w:top w:val="nil"/>
              <w:left w:val="nil"/>
              <w:bottom w:val="single" w:sz="6" w:space="0" w:color="auto"/>
              <w:right w:val="single" w:sz="6" w:space="0" w:color="auto"/>
            </w:tcBorders>
          </w:tcPr>
          <w:p w14:paraId="0E77A774" w14:textId="77777777" w:rsidR="00DA389B" w:rsidRPr="00EB3D41" w:rsidRDefault="00DA389B" w:rsidP="00CB33A7">
            <w:pPr>
              <w:jc w:val="center"/>
              <w:rPr>
                <w:rFonts w:cs="Arial"/>
                <w:bCs/>
                <w:u w:val="single"/>
              </w:rPr>
            </w:pPr>
          </w:p>
        </w:tc>
        <w:tc>
          <w:tcPr>
            <w:tcW w:w="1840" w:type="dxa"/>
            <w:tcBorders>
              <w:top w:val="nil"/>
              <w:left w:val="nil"/>
              <w:bottom w:val="single" w:sz="6" w:space="0" w:color="auto"/>
              <w:right w:val="nil"/>
            </w:tcBorders>
            <w:vAlign w:val="center"/>
          </w:tcPr>
          <w:p w14:paraId="1F5FBA79" w14:textId="77777777" w:rsidR="00DA389B" w:rsidRPr="00EB3D41" w:rsidRDefault="00DA389B" w:rsidP="00CB33A7">
            <w:pPr>
              <w:jc w:val="center"/>
              <w:rPr>
                <w:rFonts w:cs="Arial"/>
                <w:bCs/>
                <w:u w:val="single"/>
              </w:rPr>
            </w:pPr>
            <w:r w:rsidRPr="00EB3D41">
              <w:rPr>
                <w:rFonts w:cs="Arial"/>
                <w:bCs/>
                <w:u w:val="single"/>
              </w:rPr>
              <w:t>2,560</w:t>
            </w:r>
          </w:p>
        </w:tc>
        <w:tc>
          <w:tcPr>
            <w:tcW w:w="30" w:type="dxa"/>
            <w:tcBorders>
              <w:top w:val="nil"/>
              <w:left w:val="nil"/>
              <w:bottom w:val="single" w:sz="6" w:space="0" w:color="auto"/>
              <w:right w:val="single" w:sz="6" w:space="0" w:color="auto"/>
            </w:tcBorders>
          </w:tcPr>
          <w:p w14:paraId="368189AD" w14:textId="77777777" w:rsidR="00DA389B" w:rsidRPr="00EB3D41" w:rsidRDefault="00DA389B" w:rsidP="00CB33A7">
            <w:pPr>
              <w:rPr>
                <w:rFonts w:cs="Arial"/>
                <w:bCs/>
                <w:u w:val="single"/>
              </w:rPr>
            </w:pPr>
          </w:p>
        </w:tc>
      </w:tr>
      <w:tr w:rsidR="00DA389B" w:rsidRPr="00EB3D41" w14:paraId="601CC323" w14:textId="77777777" w:rsidTr="00CB33A7">
        <w:trPr>
          <w:trHeight w:val="118"/>
        </w:trPr>
        <w:tc>
          <w:tcPr>
            <w:tcW w:w="2062" w:type="dxa"/>
            <w:tcBorders>
              <w:top w:val="nil"/>
              <w:left w:val="single" w:sz="6" w:space="0" w:color="auto"/>
              <w:bottom w:val="single" w:sz="6" w:space="0" w:color="auto"/>
              <w:right w:val="single" w:sz="6" w:space="0" w:color="auto"/>
            </w:tcBorders>
            <w:shd w:val="clear" w:color="auto" w:fill="auto"/>
            <w:vAlign w:val="center"/>
            <w:hideMark/>
          </w:tcPr>
          <w:p w14:paraId="5D4FBE0F" w14:textId="77777777" w:rsidR="00DA389B" w:rsidRPr="00EB3D41" w:rsidRDefault="00DA389B" w:rsidP="00CB33A7">
            <w:pPr>
              <w:rPr>
                <w:rFonts w:cs="Arial"/>
                <w:bCs/>
                <w:u w:val="single"/>
              </w:rPr>
            </w:pPr>
            <w:r w:rsidRPr="00EB3D41">
              <w:rPr>
                <w:rFonts w:cs="Arial"/>
                <w:bCs/>
                <w:u w:val="single"/>
              </w:rPr>
              <w:t>50,000 -100,000 </w:t>
            </w:r>
          </w:p>
        </w:tc>
        <w:tc>
          <w:tcPr>
            <w:tcW w:w="1658" w:type="dxa"/>
            <w:tcBorders>
              <w:top w:val="nil"/>
              <w:left w:val="nil"/>
              <w:bottom w:val="single" w:sz="6" w:space="0" w:color="auto"/>
              <w:right w:val="single" w:sz="6" w:space="0" w:color="auto"/>
            </w:tcBorders>
            <w:shd w:val="clear" w:color="auto" w:fill="auto"/>
            <w:vAlign w:val="center"/>
            <w:hideMark/>
          </w:tcPr>
          <w:p w14:paraId="573B256E" w14:textId="77777777" w:rsidR="00DA389B" w:rsidRPr="00EB3D41" w:rsidRDefault="00DA389B" w:rsidP="00CB33A7">
            <w:pPr>
              <w:jc w:val="center"/>
              <w:rPr>
                <w:rFonts w:cs="Arial"/>
                <w:bCs/>
                <w:u w:val="single"/>
              </w:rPr>
            </w:pPr>
            <w:r w:rsidRPr="00EB3D41">
              <w:rPr>
                <w:rFonts w:cs="Arial"/>
                <w:bCs/>
                <w:u w:val="single"/>
              </w:rPr>
              <w:t>8</w:t>
            </w:r>
          </w:p>
        </w:tc>
        <w:tc>
          <w:tcPr>
            <w:tcW w:w="1835" w:type="dxa"/>
            <w:gridSpan w:val="2"/>
            <w:tcBorders>
              <w:top w:val="nil"/>
              <w:left w:val="nil"/>
              <w:bottom w:val="single" w:sz="6" w:space="0" w:color="auto"/>
              <w:right w:val="single" w:sz="6" w:space="0" w:color="auto"/>
            </w:tcBorders>
            <w:shd w:val="clear" w:color="auto" w:fill="auto"/>
            <w:vAlign w:val="center"/>
            <w:hideMark/>
          </w:tcPr>
          <w:p w14:paraId="1317E0F4" w14:textId="77777777" w:rsidR="00DA389B" w:rsidRPr="00EB3D41" w:rsidRDefault="00DA389B" w:rsidP="00CB33A7">
            <w:pPr>
              <w:jc w:val="center"/>
              <w:rPr>
                <w:rFonts w:cs="Arial"/>
                <w:bCs/>
                <w:u w:val="single"/>
              </w:rPr>
            </w:pPr>
            <w:r w:rsidRPr="00EB3D41">
              <w:rPr>
                <w:rFonts w:cs="Arial"/>
                <w:bCs/>
                <w:u w:val="single"/>
              </w:rPr>
              <w:t>9,680</w:t>
            </w:r>
          </w:p>
        </w:tc>
        <w:tc>
          <w:tcPr>
            <w:tcW w:w="1852" w:type="dxa"/>
            <w:tcBorders>
              <w:top w:val="nil"/>
              <w:left w:val="nil"/>
              <w:bottom w:val="single" w:sz="6" w:space="0" w:color="auto"/>
              <w:right w:val="nil"/>
            </w:tcBorders>
            <w:vAlign w:val="center"/>
          </w:tcPr>
          <w:p w14:paraId="161DAB03" w14:textId="77777777" w:rsidR="00DA389B" w:rsidRPr="00EB3D41" w:rsidRDefault="00DA389B" w:rsidP="00CB33A7">
            <w:pPr>
              <w:jc w:val="center"/>
              <w:rPr>
                <w:rFonts w:cs="Arial"/>
                <w:bCs/>
                <w:u w:val="single"/>
              </w:rPr>
            </w:pPr>
            <w:r w:rsidRPr="00EB3D41">
              <w:rPr>
                <w:rFonts w:cs="Arial"/>
                <w:bCs/>
                <w:u w:val="single"/>
              </w:rPr>
              <w:t>4</w:t>
            </w:r>
          </w:p>
        </w:tc>
        <w:tc>
          <w:tcPr>
            <w:tcW w:w="34" w:type="dxa"/>
            <w:gridSpan w:val="2"/>
            <w:tcBorders>
              <w:top w:val="nil"/>
              <w:left w:val="nil"/>
              <w:bottom w:val="single" w:sz="6" w:space="0" w:color="auto"/>
              <w:right w:val="single" w:sz="6" w:space="0" w:color="auto"/>
            </w:tcBorders>
          </w:tcPr>
          <w:p w14:paraId="0B3658AD" w14:textId="77777777" w:rsidR="00DA389B" w:rsidRPr="00EB3D41" w:rsidRDefault="00DA389B" w:rsidP="00CB33A7">
            <w:pPr>
              <w:jc w:val="center"/>
              <w:rPr>
                <w:rFonts w:cs="Arial"/>
                <w:bCs/>
                <w:u w:val="single"/>
              </w:rPr>
            </w:pPr>
          </w:p>
        </w:tc>
        <w:tc>
          <w:tcPr>
            <w:tcW w:w="1840" w:type="dxa"/>
            <w:tcBorders>
              <w:top w:val="nil"/>
              <w:left w:val="nil"/>
              <w:bottom w:val="single" w:sz="6" w:space="0" w:color="auto"/>
              <w:right w:val="nil"/>
            </w:tcBorders>
            <w:vAlign w:val="center"/>
          </w:tcPr>
          <w:p w14:paraId="3EF49C5F" w14:textId="77777777" w:rsidR="00DA389B" w:rsidRPr="00EB3D41" w:rsidRDefault="00DA389B" w:rsidP="00CB33A7">
            <w:pPr>
              <w:jc w:val="center"/>
              <w:rPr>
                <w:rFonts w:cs="Arial"/>
                <w:bCs/>
                <w:u w:val="single"/>
              </w:rPr>
            </w:pPr>
            <w:r w:rsidRPr="00EB3D41">
              <w:rPr>
                <w:rFonts w:cs="Arial"/>
                <w:bCs/>
                <w:u w:val="single"/>
              </w:rPr>
              <w:t>4,840</w:t>
            </w:r>
          </w:p>
        </w:tc>
        <w:tc>
          <w:tcPr>
            <w:tcW w:w="30" w:type="dxa"/>
            <w:tcBorders>
              <w:top w:val="nil"/>
              <w:left w:val="nil"/>
              <w:bottom w:val="single" w:sz="6" w:space="0" w:color="auto"/>
              <w:right w:val="single" w:sz="6" w:space="0" w:color="auto"/>
            </w:tcBorders>
          </w:tcPr>
          <w:p w14:paraId="491FB2D7" w14:textId="77777777" w:rsidR="00DA389B" w:rsidRPr="00EB3D41" w:rsidRDefault="00DA389B" w:rsidP="00CB33A7">
            <w:pPr>
              <w:rPr>
                <w:rFonts w:cs="Arial"/>
                <w:bCs/>
                <w:u w:val="single"/>
              </w:rPr>
            </w:pPr>
          </w:p>
        </w:tc>
      </w:tr>
      <w:tr w:rsidR="00DA389B" w:rsidRPr="00EB3D41" w14:paraId="66A95436" w14:textId="77777777" w:rsidTr="00CB33A7">
        <w:trPr>
          <w:trHeight w:val="118"/>
        </w:trPr>
        <w:tc>
          <w:tcPr>
            <w:tcW w:w="2062" w:type="dxa"/>
            <w:tcBorders>
              <w:top w:val="nil"/>
              <w:left w:val="single" w:sz="6" w:space="0" w:color="auto"/>
              <w:bottom w:val="single" w:sz="6" w:space="0" w:color="auto"/>
              <w:right w:val="single" w:sz="6" w:space="0" w:color="auto"/>
            </w:tcBorders>
            <w:shd w:val="clear" w:color="auto" w:fill="auto"/>
            <w:vAlign w:val="center"/>
            <w:hideMark/>
          </w:tcPr>
          <w:p w14:paraId="4A76F82C" w14:textId="77777777" w:rsidR="00DA389B" w:rsidRPr="00EB3D41" w:rsidRDefault="00DA389B" w:rsidP="00CB33A7">
            <w:pPr>
              <w:rPr>
                <w:rFonts w:cs="Arial"/>
                <w:bCs/>
                <w:u w:val="single"/>
              </w:rPr>
            </w:pPr>
            <w:r w:rsidRPr="00EB3D41">
              <w:rPr>
                <w:rFonts w:cs="Arial"/>
                <w:bCs/>
                <w:u w:val="single"/>
              </w:rPr>
              <w:t>100,000-500,000 </w:t>
            </w:r>
          </w:p>
        </w:tc>
        <w:tc>
          <w:tcPr>
            <w:tcW w:w="1658" w:type="dxa"/>
            <w:tcBorders>
              <w:top w:val="nil"/>
              <w:left w:val="nil"/>
              <w:bottom w:val="single" w:sz="6" w:space="0" w:color="auto"/>
              <w:right w:val="single" w:sz="6" w:space="0" w:color="auto"/>
            </w:tcBorders>
            <w:shd w:val="clear" w:color="auto" w:fill="auto"/>
            <w:vAlign w:val="center"/>
            <w:hideMark/>
          </w:tcPr>
          <w:p w14:paraId="511B7D62" w14:textId="77777777" w:rsidR="00DA389B" w:rsidRPr="00EB3D41" w:rsidRDefault="00DA389B" w:rsidP="00CB33A7">
            <w:pPr>
              <w:jc w:val="center"/>
              <w:rPr>
                <w:rFonts w:cs="Arial"/>
                <w:bCs/>
                <w:u w:val="single"/>
              </w:rPr>
            </w:pPr>
            <w:r w:rsidRPr="00EB3D41">
              <w:rPr>
                <w:rFonts w:cs="Arial"/>
                <w:bCs/>
                <w:u w:val="single"/>
              </w:rPr>
              <w:t>32</w:t>
            </w:r>
          </w:p>
        </w:tc>
        <w:tc>
          <w:tcPr>
            <w:tcW w:w="1835" w:type="dxa"/>
            <w:gridSpan w:val="2"/>
            <w:tcBorders>
              <w:top w:val="nil"/>
              <w:left w:val="nil"/>
              <w:bottom w:val="single" w:sz="6" w:space="0" w:color="auto"/>
              <w:right w:val="single" w:sz="6" w:space="0" w:color="auto"/>
            </w:tcBorders>
            <w:shd w:val="clear" w:color="auto" w:fill="auto"/>
            <w:vAlign w:val="center"/>
            <w:hideMark/>
          </w:tcPr>
          <w:p w14:paraId="26A60ACB" w14:textId="77777777" w:rsidR="00DA389B" w:rsidRPr="00EB3D41" w:rsidRDefault="00DA389B" w:rsidP="00CB33A7">
            <w:pPr>
              <w:jc w:val="center"/>
              <w:rPr>
                <w:rFonts w:cs="Arial"/>
                <w:bCs/>
                <w:u w:val="single"/>
              </w:rPr>
            </w:pPr>
            <w:r w:rsidRPr="00EB3D41">
              <w:rPr>
                <w:rFonts w:cs="Arial"/>
                <w:bCs/>
                <w:u w:val="single"/>
              </w:rPr>
              <w:t>37,520</w:t>
            </w:r>
          </w:p>
        </w:tc>
        <w:tc>
          <w:tcPr>
            <w:tcW w:w="1852" w:type="dxa"/>
            <w:tcBorders>
              <w:top w:val="nil"/>
              <w:left w:val="nil"/>
              <w:bottom w:val="single" w:sz="6" w:space="0" w:color="auto"/>
              <w:right w:val="nil"/>
            </w:tcBorders>
            <w:vAlign w:val="center"/>
          </w:tcPr>
          <w:p w14:paraId="4AF8E0B1" w14:textId="77777777" w:rsidR="00DA389B" w:rsidRPr="00EB3D41" w:rsidRDefault="00DA389B" w:rsidP="00CB33A7">
            <w:pPr>
              <w:jc w:val="center"/>
              <w:rPr>
                <w:rFonts w:cs="Arial"/>
                <w:bCs/>
                <w:u w:val="single"/>
              </w:rPr>
            </w:pPr>
            <w:r w:rsidRPr="00EB3D41">
              <w:rPr>
                <w:rFonts w:cs="Arial"/>
                <w:bCs/>
                <w:u w:val="single"/>
              </w:rPr>
              <w:t>16</w:t>
            </w:r>
          </w:p>
        </w:tc>
        <w:tc>
          <w:tcPr>
            <w:tcW w:w="34" w:type="dxa"/>
            <w:gridSpan w:val="2"/>
            <w:tcBorders>
              <w:top w:val="nil"/>
              <w:left w:val="nil"/>
              <w:bottom w:val="single" w:sz="6" w:space="0" w:color="auto"/>
              <w:right w:val="single" w:sz="6" w:space="0" w:color="auto"/>
            </w:tcBorders>
          </w:tcPr>
          <w:p w14:paraId="48D0C310" w14:textId="77777777" w:rsidR="00DA389B" w:rsidRPr="00EB3D41" w:rsidRDefault="00DA389B" w:rsidP="00CB33A7">
            <w:pPr>
              <w:jc w:val="center"/>
              <w:rPr>
                <w:rFonts w:cs="Arial"/>
                <w:bCs/>
                <w:u w:val="single"/>
              </w:rPr>
            </w:pPr>
          </w:p>
        </w:tc>
        <w:tc>
          <w:tcPr>
            <w:tcW w:w="1840" w:type="dxa"/>
            <w:tcBorders>
              <w:top w:val="nil"/>
              <w:left w:val="nil"/>
              <w:bottom w:val="single" w:sz="6" w:space="0" w:color="auto"/>
              <w:right w:val="nil"/>
            </w:tcBorders>
            <w:vAlign w:val="center"/>
          </w:tcPr>
          <w:p w14:paraId="0BD811B6" w14:textId="77777777" w:rsidR="00DA389B" w:rsidRPr="00EB3D41" w:rsidRDefault="00DA389B" w:rsidP="00CB33A7">
            <w:pPr>
              <w:jc w:val="center"/>
              <w:rPr>
                <w:rFonts w:cs="Arial"/>
                <w:bCs/>
                <w:u w:val="single"/>
              </w:rPr>
            </w:pPr>
            <w:r w:rsidRPr="00EB3D41">
              <w:rPr>
                <w:rFonts w:cs="Arial"/>
                <w:bCs/>
                <w:u w:val="single"/>
              </w:rPr>
              <w:t>18,760</w:t>
            </w:r>
          </w:p>
        </w:tc>
        <w:tc>
          <w:tcPr>
            <w:tcW w:w="30" w:type="dxa"/>
            <w:tcBorders>
              <w:top w:val="nil"/>
              <w:left w:val="nil"/>
              <w:bottom w:val="single" w:sz="6" w:space="0" w:color="auto"/>
              <w:right w:val="single" w:sz="6" w:space="0" w:color="auto"/>
            </w:tcBorders>
          </w:tcPr>
          <w:p w14:paraId="7B2C1EDF" w14:textId="77777777" w:rsidR="00DA389B" w:rsidRPr="00EB3D41" w:rsidRDefault="00DA389B" w:rsidP="00CB33A7">
            <w:pPr>
              <w:rPr>
                <w:rFonts w:cs="Arial"/>
                <w:bCs/>
                <w:u w:val="single"/>
              </w:rPr>
            </w:pPr>
          </w:p>
        </w:tc>
      </w:tr>
      <w:tr w:rsidR="00DA389B" w:rsidRPr="007653B5" w14:paraId="59BFD4D9" w14:textId="77777777" w:rsidTr="00CB33A7">
        <w:trPr>
          <w:trHeight w:val="118"/>
        </w:trPr>
        <w:tc>
          <w:tcPr>
            <w:tcW w:w="2062" w:type="dxa"/>
            <w:tcBorders>
              <w:top w:val="nil"/>
              <w:left w:val="single" w:sz="6" w:space="0" w:color="auto"/>
              <w:bottom w:val="single" w:sz="6" w:space="0" w:color="auto"/>
              <w:right w:val="single" w:sz="6" w:space="0" w:color="auto"/>
            </w:tcBorders>
            <w:shd w:val="clear" w:color="auto" w:fill="auto"/>
            <w:vAlign w:val="center"/>
            <w:hideMark/>
          </w:tcPr>
          <w:p w14:paraId="0910778F" w14:textId="77777777" w:rsidR="00DA389B" w:rsidRPr="00EB3D41" w:rsidRDefault="00DA389B" w:rsidP="00CB33A7">
            <w:pPr>
              <w:rPr>
                <w:rFonts w:cs="Arial"/>
                <w:bCs/>
                <w:u w:val="single"/>
              </w:rPr>
            </w:pPr>
            <w:r w:rsidRPr="00EB3D41">
              <w:rPr>
                <w:rFonts w:cs="Arial"/>
                <w:bCs/>
                <w:u w:val="single"/>
              </w:rPr>
              <w:t>&gt;500,000 </w:t>
            </w:r>
          </w:p>
        </w:tc>
        <w:tc>
          <w:tcPr>
            <w:tcW w:w="1658" w:type="dxa"/>
            <w:tcBorders>
              <w:top w:val="nil"/>
              <w:left w:val="nil"/>
              <w:bottom w:val="single" w:sz="6" w:space="0" w:color="auto"/>
              <w:right w:val="single" w:sz="6" w:space="0" w:color="auto"/>
            </w:tcBorders>
            <w:shd w:val="clear" w:color="auto" w:fill="auto"/>
            <w:vAlign w:val="center"/>
            <w:hideMark/>
          </w:tcPr>
          <w:p w14:paraId="57C7578E" w14:textId="77777777" w:rsidR="00DA389B" w:rsidRPr="007653B5" w:rsidRDefault="00DA389B" w:rsidP="00CB33A7">
            <w:pPr>
              <w:jc w:val="center"/>
              <w:rPr>
                <w:rFonts w:cs="Arial"/>
                <w:u w:val="single"/>
              </w:rPr>
            </w:pPr>
            <w:r w:rsidRPr="007653B5">
              <w:rPr>
                <w:rFonts w:cs="Arial"/>
                <w:u w:val="single"/>
              </w:rPr>
              <w:t>53</w:t>
            </w:r>
          </w:p>
        </w:tc>
        <w:tc>
          <w:tcPr>
            <w:tcW w:w="1835" w:type="dxa"/>
            <w:gridSpan w:val="2"/>
            <w:tcBorders>
              <w:top w:val="nil"/>
              <w:left w:val="nil"/>
              <w:bottom w:val="single" w:sz="6" w:space="0" w:color="auto"/>
              <w:right w:val="single" w:sz="6" w:space="0" w:color="auto"/>
            </w:tcBorders>
            <w:shd w:val="clear" w:color="auto" w:fill="auto"/>
            <w:vAlign w:val="center"/>
            <w:hideMark/>
          </w:tcPr>
          <w:p w14:paraId="1576BBAE" w14:textId="77777777" w:rsidR="00DA389B" w:rsidRPr="007653B5" w:rsidRDefault="00DA389B" w:rsidP="00CB33A7">
            <w:pPr>
              <w:jc w:val="center"/>
              <w:rPr>
                <w:rFonts w:cs="Arial"/>
                <w:u w:val="single"/>
              </w:rPr>
            </w:pPr>
            <w:r w:rsidRPr="007653B5">
              <w:rPr>
                <w:rFonts w:cs="Arial"/>
                <w:u w:val="single"/>
              </w:rPr>
              <w:t>61,520</w:t>
            </w:r>
          </w:p>
        </w:tc>
        <w:tc>
          <w:tcPr>
            <w:tcW w:w="1852" w:type="dxa"/>
            <w:tcBorders>
              <w:top w:val="nil"/>
              <w:left w:val="nil"/>
              <w:bottom w:val="single" w:sz="6" w:space="0" w:color="auto"/>
              <w:right w:val="nil"/>
            </w:tcBorders>
            <w:vAlign w:val="center"/>
          </w:tcPr>
          <w:p w14:paraId="070AB491" w14:textId="77777777" w:rsidR="00DA389B" w:rsidRPr="007653B5" w:rsidRDefault="00DA389B" w:rsidP="00CB33A7">
            <w:pPr>
              <w:jc w:val="center"/>
              <w:rPr>
                <w:rFonts w:cs="Arial"/>
                <w:u w:val="single"/>
              </w:rPr>
            </w:pPr>
            <w:r>
              <w:rPr>
                <w:rFonts w:cs="Arial"/>
                <w:u w:val="single"/>
              </w:rPr>
              <w:t>26</w:t>
            </w:r>
          </w:p>
        </w:tc>
        <w:tc>
          <w:tcPr>
            <w:tcW w:w="34" w:type="dxa"/>
            <w:gridSpan w:val="2"/>
            <w:tcBorders>
              <w:top w:val="nil"/>
              <w:left w:val="nil"/>
              <w:bottom w:val="single" w:sz="6" w:space="0" w:color="auto"/>
              <w:right w:val="single" w:sz="6" w:space="0" w:color="auto"/>
            </w:tcBorders>
          </w:tcPr>
          <w:p w14:paraId="40BDD48D" w14:textId="77777777" w:rsidR="00DA389B" w:rsidRPr="007653B5" w:rsidRDefault="00DA389B" w:rsidP="00CB33A7">
            <w:pPr>
              <w:jc w:val="center"/>
              <w:rPr>
                <w:rFonts w:cs="Arial"/>
                <w:u w:val="single"/>
              </w:rPr>
            </w:pPr>
          </w:p>
        </w:tc>
        <w:tc>
          <w:tcPr>
            <w:tcW w:w="1840" w:type="dxa"/>
            <w:tcBorders>
              <w:top w:val="nil"/>
              <w:left w:val="nil"/>
              <w:bottom w:val="single" w:sz="6" w:space="0" w:color="auto"/>
              <w:right w:val="nil"/>
            </w:tcBorders>
            <w:vAlign w:val="center"/>
          </w:tcPr>
          <w:p w14:paraId="4D8FEFB3" w14:textId="77777777" w:rsidR="00DA389B" w:rsidRPr="007653B5" w:rsidRDefault="00DA389B" w:rsidP="00CB33A7">
            <w:pPr>
              <w:jc w:val="center"/>
              <w:rPr>
                <w:rFonts w:cs="Arial"/>
                <w:u w:val="single"/>
              </w:rPr>
            </w:pPr>
            <w:r>
              <w:rPr>
                <w:rFonts w:cs="Arial"/>
                <w:u w:val="single"/>
              </w:rPr>
              <w:t>30,760</w:t>
            </w:r>
          </w:p>
        </w:tc>
        <w:tc>
          <w:tcPr>
            <w:tcW w:w="30" w:type="dxa"/>
            <w:tcBorders>
              <w:top w:val="nil"/>
              <w:left w:val="nil"/>
              <w:bottom w:val="single" w:sz="6" w:space="0" w:color="auto"/>
              <w:right w:val="single" w:sz="6" w:space="0" w:color="auto"/>
            </w:tcBorders>
          </w:tcPr>
          <w:p w14:paraId="25EB9500" w14:textId="77777777" w:rsidR="00DA389B" w:rsidRPr="007653B5" w:rsidRDefault="00DA389B" w:rsidP="00CB33A7">
            <w:pPr>
              <w:rPr>
                <w:rFonts w:cs="Arial"/>
                <w:u w:val="single"/>
              </w:rPr>
            </w:pPr>
          </w:p>
        </w:tc>
      </w:tr>
      <w:bookmarkEnd w:id="1"/>
      <w:bookmarkEnd w:id="2"/>
    </w:tbl>
    <w:p w14:paraId="6424B88B" w14:textId="17BBD292" w:rsidR="003C691A" w:rsidRPr="00775FDD" w:rsidRDefault="003C691A" w:rsidP="00A54029">
      <w:pPr>
        <w:rPr>
          <w:rFonts w:cs="Arial"/>
          <w:color w:val="000000"/>
          <w:u w:val="single"/>
        </w:rPr>
      </w:pPr>
    </w:p>
    <w:sectPr w:rsidR="003C691A" w:rsidRPr="00775FDD" w:rsidSect="00CC176B">
      <w:footerReference w:type="default" r:id="rId8"/>
      <w:pgSz w:w="12240" w:h="15840" w:code="1"/>
      <w:pgMar w:top="72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1717D" w14:textId="77777777" w:rsidR="00DF1798" w:rsidRDefault="00DF1798">
      <w:r>
        <w:separator/>
      </w:r>
    </w:p>
  </w:endnote>
  <w:endnote w:type="continuationSeparator" w:id="0">
    <w:p w14:paraId="481A8311" w14:textId="77777777" w:rsidR="00DF1798" w:rsidRDefault="00DF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971043"/>
      <w:docPartObj>
        <w:docPartGallery w:val="Page Numbers (Bottom of Page)"/>
        <w:docPartUnique/>
      </w:docPartObj>
    </w:sdtPr>
    <w:sdtEndPr>
      <w:rPr>
        <w:noProof/>
      </w:rPr>
    </w:sdtEndPr>
    <w:sdtContent>
      <w:p w14:paraId="31566220" w14:textId="091BA1B5" w:rsidR="003B39C7" w:rsidRDefault="003B39C7">
        <w:pPr>
          <w:pStyle w:val="Footer"/>
          <w:jc w:val="center"/>
        </w:pPr>
        <w:r>
          <w:fldChar w:fldCharType="begin"/>
        </w:r>
        <w:r>
          <w:instrText xml:space="preserve"> PAGE   \* MERGEFORMAT </w:instrText>
        </w:r>
        <w:r>
          <w:fldChar w:fldCharType="separate"/>
        </w:r>
        <w:r w:rsidR="0046764B">
          <w:rPr>
            <w:noProof/>
          </w:rPr>
          <w:t>3</w:t>
        </w:r>
        <w:r>
          <w:rPr>
            <w:noProof/>
          </w:rPr>
          <w:fldChar w:fldCharType="end"/>
        </w:r>
      </w:p>
    </w:sdtContent>
  </w:sdt>
  <w:p w14:paraId="59FF2430" w14:textId="534FDFB7" w:rsidR="008541E4" w:rsidRPr="00406B64" w:rsidRDefault="00E43324" w:rsidP="00B50682">
    <w:pPr>
      <w:pStyle w:val="Footer"/>
      <w:tabs>
        <w:tab w:val="left" w:pos="6930"/>
      </w:tabs>
    </w:pPr>
    <w:proofErr w:type="spellStart"/>
    <w:r w:rsidRPr="00406B64">
      <w:t>CALGreen</w:t>
    </w:r>
    <w:proofErr w:type="spellEnd"/>
    <w:r w:rsidRPr="00406B64">
      <w:t xml:space="preserve"> Workshop 12-9-20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89073" w14:textId="77777777" w:rsidR="00DF1798" w:rsidRDefault="00DF1798">
      <w:r>
        <w:separator/>
      </w:r>
    </w:p>
  </w:footnote>
  <w:footnote w:type="continuationSeparator" w:id="0">
    <w:p w14:paraId="34BF5BB6" w14:textId="77777777" w:rsidR="00DF1798" w:rsidRDefault="00DF17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2BDD"/>
    <w:multiLevelType w:val="hybridMultilevel"/>
    <w:tmpl w:val="3AB22EA8"/>
    <w:lvl w:ilvl="0" w:tplc="68B2D6B2">
      <w:start w:val="1"/>
      <w:numFmt w:val="decimal"/>
      <w:lvlText w:val="%1."/>
      <w:lvlJc w:val="left"/>
      <w:pPr>
        <w:ind w:left="1170" w:hanging="360"/>
      </w:pPr>
      <w:rPr>
        <w:rFonts w:hint="default"/>
        <w:color w:val="000000"/>
        <w:sz w:val="24"/>
        <w:szCs w:val="24"/>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5FB11E4"/>
    <w:multiLevelType w:val="hybridMultilevel"/>
    <w:tmpl w:val="0C045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FF2CE8"/>
    <w:multiLevelType w:val="hybridMultilevel"/>
    <w:tmpl w:val="148818B0"/>
    <w:lvl w:ilvl="0" w:tplc="7688A9DE">
      <w:start w:val="1"/>
      <w:numFmt w:val="decimal"/>
      <w:lvlText w:val="%1."/>
      <w:lvlJc w:val="left"/>
      <w:pPr>
        <w:ind w:left="533" w:hanging="180"/>
      </w:pPr>
      <w:rPr>
        <w:rFonts w:ascii="Times New Roman" w:eastAsia="Times New Roman" w:hAnsi="Times New Roman" w:cs="Times New Roman" w:hint="default"/>
        <w:spacing w:val="-1"/>
        <w:w w:val="99"/>
        <w:sz w:val="16"/>
        <w:szCs w:val="16"/>
      </w:rPr>
    </w:lvl>
    <w:lvl w:ilvl="1" w:tplc="5100C534">
      <w:start w:val="1"/>
      <w:numFmt w:val="decimal"/>
      <w:lvlText w:val="%2."/>
      <w:lvlJc w:val="left"/>
      <w:pPr>
        <w:ind w:left="1553" w:hanging="238"/>
      </w:pPr>
      <w:rPr>
        <w:rFonts w:ascii="Times New Roman" w:eastAsia="Times New Roman" w:hAnsi="Times New Roman" w:cs="Times New Roman" w:hint="default"/>
        <w:spacing w:val="0"/>
        <w:w w:val="99"/>
        <w:sz w:val="20"/>
        <w:szCs w:val="20"/>
      </w:rPr>
    </w:lvl>
    <w:lvl w:ilvl="2" w:tplc="00A8A878">
      <w:numFmt w:val="bullet"/>
      <w:lvlText w:val="•"/>
      <w:lvlJc w:val="left"/>
      <w:pPr>
        <w:ind w:left="2034" w:hanging="238"/>
      </w:pPr>
      <w:rPr>
        <w:rFonts w:hint="default"/>
      </w:rPr>
    </w:lvl>
    <w:lvl w:ilvl="3" w:tplc="6FBCEA3A">
      <w:numFmt w:val="bullet"/>
      <w:lvlText w:val="•"/>
      <w:lvlJc w:val="left"/>
      <w:pPr>
        <w:ind w:left="2509" w:hanging="238"/>
      </w:pPr>
      <w:rPr>
        <w:rFonts w:hint="default"/>
      </w:rPr>
    </w:lvl>
    <w:lvl w:ilvl="4" w:tplc="7A9EA1B6">
      <w:numFmt w:val="bullet"/>
      <w:lvlText w:val="•"/>
      <w:lvlJc w:val="left"/>
      <w:pPr>
        <w:ind w:left="2984" w:hanging="238"/>
      </w:pPr>
      <w:rPr>
        <w:rFonts w:hint="default"/>
      </w:rPr>
    </w:lvl>
    <w:lvl w:ilvl="5" w:tplc="552E37E0">
      <w:numFmt w:val="bullet"/>
      <w:lvlText w:val="•"/>
      <w:lvlJc w:val="left"/>
      <w:pPr>
        <w:ind w:left="3459" w:hanging="238"/>
      </w:pPr>
      <w:rPr>
        <w:rFonts w:hint="default"/>
      </w:rPr>
    </w:lvl>
    <w:lvl w:ilvl="6" w:tplc="1E3674B6">
      <w:numFmt w:val="bullet"/>
      <w:lvlText w:val="•"/>
      <w:lvlJc w:val="left"/>
      <w:pPr>
        <w:ind w:left="3934" w:hanging="238"/>
      </w:pPr>
      <w:rPr>
        <w:rFonts w:hint="default"/>
      </w:rPr>
    </w:lvl>
    <w:lvl w:ilvl="7" w:tplc="E466A1B6">
      <w:numFmt w:val="bullet"/>
      <w:lvlText w:val="•"/>
      <w:lvlJc w:val="left"/>
      <w:pPr>
        <w:ind w:left="4409" w:hanging="238"/>
      </w:pPr>
      <w:rPr>
        <w:rFonts w:hint="default"/>
      </w:rPr>
    </w:lvl>
    <w:lvl w:ilvl="8" w:tplc="56020554">
      <w:numFmt w:val="bullet"/>
      <w:lvlText w:val="•"/>
      <w:lvlJc w:val="left"/>
      <w:pPr>
        <w:ind w:left="4884" w:hanging="238"/>
      </w:pPr>
      <w:rPr>
        <w:rFonts w:hint="default"/>
      </w:rPr>
    </w:lvl>
  </w:abstractNum>
  <w:abstractNum w:abstractNumId="3" w15:restartNumberingAfterBreak="0">
    <w:nsid w:val="0FF72809"/>
    <w:multiLevelType w:val="hybridMultilevel"/>
    <w:tmpl w:val="FB1869C6"/>
    <w:lvl w:ilvl="0" w:tplc="4364C8D8">
      <w:start w:val="1"/>
      <w:numFmt w:val="decimal"/>
      <w:lvlText w:val="%1."/>
      <w:lvlJc w:val="left"/>
      <w:pPr>
        <w:ind w:left="1080" w:hanging="360"/>
      </w:pPr>
      <w:rPr>
        <w:rFonts w:hint="default"/>
        <w:color w:val="000000"/>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60075F"/>
    <w:multiLevelType w:val="hybridMultilevel"/>
    <w:tmpl w:val="7DEAE284"/>
    <w:lvl w:ilvl="0" w:tplc="40BCD28A">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E2B6D"/>
    <w:multiLevelType w:val="hybridMultilevel"/>
    <w:tmpl w:val="7F289A2C"/>
    <w:lvl w:ilvl="0" w:tplc="F3049FDE">
      <w:start w:val="1"/>
      <w:numFmt w:val="decimal"/>
      <w:lvlText w:val="%1."/>
      <w:lvlJc w:val="left"/>
      <w:pPr>
        <w:ind w:left="1260" w:hanging="360"/>
      </w:pPr>
      <w:rPr>
        <w:rFonts w:ascii="Arial" w:hAnsi="Arial" w:cs="Arial" w:hint="default"/>
        <w:i w:val="0"/>
        <w:color w:val="0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2100372E"/>
    <w:multiLevelType w:val="hybridMultilevel"/>
    <w:tmpl w:val="1C6485BC"/>
    <w:lvl w:ilvl="0" w:tplc="8E2A63C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28AC18BE"/>
    <w:multiLevelType w:val="hybridMultilevel"/>
    <w:tmpl w:val="C8A28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8AE55DF"/>
    <w:multiLevelType w:val="hybridMultilevel"/>
    <w:tmpl w:val="0B1437BA"/>
    <w:lvl w:ilvl="0" w:tplc="56626630">
      <w:start w:val="1"/>
      <w:numFmt w:val="decimal"/>
      <w:lvlText w:val="%1."/>
      <w:lvlJc w:val="left"/>
      <w:pPr>
        <w:ind w:left="1080" w:hanging="360"/>
      </w:pPr>
      <w:rPr>
        <w:rFonts w:hint="default"/>
        <w:color w:val="000000"/>
        <w:sz w:val="18"/>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6B1781"/>
    <w:multiLevelType w:val="hybridMultilevel"/>
    <w:tmpl w:val="594AC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FB7C4C"/>
    <w:multiLevelType w:val="hybridMultilevel"/>
    <w:tmpl w:val="C930D986"/>
    <w:lvl w:ilvl="0" w:tplc="71FC53AA">
      <w:start w:val="1"/>
      <w:numFmt w:val="decimal"/>
      <w:lvlText w:val="%1."/>
      <w:lvlJc w:val="left"/>
      <w:pPr>
        <w:tabs>
          <w:tab w:val="num" w:pos="720"/>
        </w:tabs>
        <w:ind w:left="720" w:hanging="360"/>
      </w:pPr>
      <w:rPr>
        <w:rFonts w:cs="Times New Roman" w:hint="default"/>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226232D"/>
    <w:multiLevelType w:val="multilevel"/>
    <w:tmpl w:val="1EAAB8B6"/>
    <w:lvl w:ilvl="0">
      <w:start w:val="1"/>
      <w:numFmt w:val="decimal"/>
      <w:lvlText w:val="%1."/>
      <w:lvlJc w:val="left"/>
      <w:pPr>
        <w:tabs>
          <w:tab w:val="num" w:pos="720"/>
        </w:tabs>
        <w:ind w:left="720" w:hanging="360"/>
      </w:pPr>
      <w:rPr>
        <w:b w:val="0"/>
        <w:bCs w:val="0"/>
      </w:rPr>
    </w:lvl>
    <w:lvl w:ilvl="1">
      <w:start w:val="106"/>
      <w:numFmt w:val="decimal"/>
      <w:isLgl/>
      <w:lvlText w:val="%1.%2"/>
      <w:lvlJc w:val="left"/>
      <w:pPr>
        <w:ind w:left="1500" w:hanging="1140"/>
      </w:pPr>
      <w:rPr>
        <w:rFonts w:hint="default"/>
      </w:rPr>
    </w:lvl>
    <w:lvl w:ilvl="2">
      <w:start w:val="5"/>
      <w:numFmt w:val="decimal"/>
      <w:isLgl/>
      <w:lvlText w:val="%1.%2.%3"/>
      <w:lvlJc w:val="left"/>
      <w:pPr>
        <w:ind w:left="1500" w:hanging="1140"/>
      </w:pPr>
      <w:rPr>
        <w:rFonts w:hint="default"/>
      </w:rPr>
    </w:lvl>
    <w:lvl w:ilvl="3">
      <w:start w:val="3"/>
      <w:numFmt w:val="decimal"/>
      <w:isLgl/>
      <w:lvlText w:val="%1.%2.%3.%4"/>
      <w:lvlJc w:val="left"/>
      <w:pPr>
        <w:ind w:left="1500" w:hanging="1140"/>
      </w:pPr>
      <w:rPr>
        <w:rFonts w:hint="default"/>
      </w:rPr>
    </w:lvl>
    <w:lvl w:ilvl="4">
      <w:start w:val="5"/>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A41135D"/>
    <w:multiLevelType w:val="hybridMultilevel"/>
    <w:tmpl w:val="15F6F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2C3700"/>
    <w:multiLevelType w:val="hybridMultilevel"/>
    <w:tmpl w:val="68F06168"/>
    <w:lvl w:ilvl="0" w:tplc="DD580C5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BF41E2"/>
    <w:multiLevelType w:val="hybridMultilevel"/>
    <w:tmpl w:val="20E688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DC345E"/>
    <w:multiLevelType w:val="hybridMultilevel"/>
    <w:tmpl w:val="942852C6"/>
    <w:lvl w:ilvl="0" w:tplc="55CA8562">
      <w:start w:val="1"/>
      <w:numFmt w:val="decimal"/>
      <w:lvlText w:val="%1."/>
      <w:lvlJc w:val="left"/>
      <w:pPr>
        <w:ind w:left="1440" w:hanging="360"/>
      </w:pPr>
      <w:rPr>
        <w:rFonts w:hint="default"/>
        <w:color w:val="000000"/>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CE7025D"/>
    <w:multiLevelType w:val="hybridMultilevel"/>
    <w:tmpl w:val="F28CAA5E"/>
    <w:lvl w:ilvl="0" w:tplc="5BEE502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4E1B393E"/>
    <w:multiLevelType w:val="hybridMultilevel"/>
    <w:tmpl w:val="62E2D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2D1862"/>
    <w:multiLevelType w:val="hybridMultilevel"/>
    <w:tmpl w:val="52D06C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D30961"/>
    <w:multiLevelType w:val="hybridMultilevel"/>
    <w:tmpl w:val="C4B0220E"/>
    <w:lvl w:ilvl="0" w:tplc="D2581974">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DF4051"/>
    <w:multiLevelType w:val="hybridMultilevel"/>
    <w:tmpl w:val="EE945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AB7FE4"/>
    <w:multiLevelType w:val="hybridMultilevel"/>
    <w:tmpl w:val="0CDE0F48"/>
    <w:lvl w:ilvl="0" w:tplc="E3468E22">
      <w:start w:val="1"/>
      <w:numFmt w:val="decimal"/>
      <w:lvlText w:val="%1."/>
      <w:lvlJc w:val="left"/>
      <w:pPr>
        <w:tabs>
          <w:tab w:val="num" w:pos="720"/>
        </w:tabs>
        <w:ind w:left="720" w:hanging="360"/>
      </w:pPr>
      <w:rPr>
        <w:rFonts w:hint="default"/>
        <w:b/>
      </w:rPr>
    </w:lvl>
    <w:lvl w:ilvl="1" w:tplc="2A30F152">
      <w:start w:val="1"/>
      <w:numFmt w:val="lowerLetter"/>
      <w:lvlText w:val="%2."/>
      <w:lvlJc w:val="left"/>
      <w:pPr>
        <w:tabs>
          <w:tab w:val="num" w:pos="1440"/>
        </w:tabs>
        <w:ind w:left="1440" w:hanging="360"/>
      </w:pPr>
      <w:rPr>
        <w:rFonts w:hint="default"/>
        <w:b/>
      </w:rPr>
    </w:lvl>
    <w:lvl w:ilvl="2" w:tplc="FEE0971A">
      <w:start w:val="1"/>
      <w:numFmt w:val="upperLetter"/>
      <w:lvlText w:val="%3&gt;"/>
      <w:lvlJc w:val="left"/>
      <w:pPr>
        <w:tabs>
          <w:tab w:val="num" w:pos="2340"/>
        </w:tabs>
        <w:ind w:left="2340" w:hanging="360"/>
      </w:pPr>
      <w:rPr>
        <w:rFonts w:hint="default"/>
        <w:b/>
      </w:rPr>
    </w:lvl>
    <w:lvl w:ilvl="3" w:tplc="DAE87DE8">
      <w:start w:val="1"/>
      <w:numFmt w:val="upperLetter"/>
      <w:lvlText w:val="%4."/>
      <w:lvlJc w:val="left"/>
      <w:pPr>
        <w:tabs>
          <w:tab w:val="num" w:pos="2880"/>
        </w:tabs>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BB9797D"/>
    <w:multiLevelType w:val="hybridMultilevel"/>
    <w:tmpl w:val="7A349E1E"/>
    <w:lvl w:ilvl="0" w:tplc="6EF299D2">
      <w:start w:val="1"/>
      <w:numFmt w:val="decimal"/>
      <w:lvlText w:val="%1."/>
      <w:lvlJc w:val="left"/>
      <w:pPr>
        <w:ind w:left="1440" w:hanging="360"/>
      </w:pPr>
      <w:rPr>
        <w:rFonts w:hint="default"/>
        <w:color w:val="000000"/>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43E413C"/>
    <w:multiLevelType w:val="hybridMultilevel"/>
    <w:tmpl w:val="BC7A1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A5150D9"/>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abstractNumId w:val="25"/>
  </w:num>
  <w:num w:numId="2">
    <w:abstractNumId w:val="22"/>
  </w:num>
  <w:num w:numId="3">
    <w:abstractNumId w:val="14"/>
  </w:num>
  <w:num w:numId="4">
    <w:abstractNumId w:val="1"/>
  </w:num>
  <w:num w:numId="5">
    <w:abstractNumId w:val="24"/>
  </w:num>
  <w:num w:numId="6">
    <w:abstractNumId w:val="10"/>
  </w:num>
  <w:num w:numId="7">
    <w:abstractNumId w:val="6"/>
  </w:num>
  <w:num w:numId="8">
    <w:abstractNumId w:val="12"/>
  </w:num>
  <w:num w:numId="9">
    <w:abstractNumId w:val="13"/>
  </w:num>
  <w:num w:numId="10">
    <w:abstractNumId w:val="19"/>
  </w:num>
  <w:num w:numId="11">
    <w:abstractNumId w:val="7"/>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8"/>
  </w:num>
  <w:num w:numId="15">
    <w:abstractNumId w:val="3"/>
  </w:num>
  <w:num w:numId="16">
    <w:abstractNumId w:val="9"/>
  </w:num>
  <w:num w:numId="17">
    <w:abstractNumId w:val="17"/>
  </w:num>
  <w:num w:numId="18">
    <w:abstractNumId w:val="20"/>
  </w:num>
  <w:num w:numId="19">
    <w:abstractNumId w:val="2"/>
  </w:num>
  <w:num w:numId="20">
    <w:abstractNumId w:val="4"/>
  </w:num>
  <w:num w:numId="21">
    <w:abstractNumId w:val="5"/>
  </w:num>
  <w:num w:numId="22">
    <w:abstractNumId w:val="21"/>
  </w:num>
  <w:num w:numId="23">
    <w:abstractNumId w:val="15"/>
  </w:num>
  <w:num w:numId="24">
    <w:abstractNumId w:val="23"/>
  </w:num>
  <w:num w:numId="25">
    <w:abstractNumId w:val="1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165"/>
    <w:rsid w:val="000062D7"/>
    <w:rsid w:val="00011620"/>
    <w:rsid w:val="0001431E"/>
    <w:rsid w:val="000174B7"/>
    <w:rsid w:val="00020882"/>
    <w:rsid w:val="000217A5"/>
    <w:rsid w:val="000220CB"/>
    <w:rsid w:val="000261E8"/>
    <w:rsid w:val="00026719"/>
    <w:rsid w:val="00030ABD"/>
    <w:rsid w:val="000312AF"/>
    <w:rsid w:val="000360D8"/>
    <w:rsid w:val="00041B7C"/>
    <w:rsid w:val="00047CD8"/>
    <w:rsid w:val="00050219"/>
    <w:rsid w:val="0005096F"/>
    <w:rsid w:val="00052220"/>
    <w:rsid w:val="00052B7D"/>
    <w:rsid w:val="000531FB"/>
    <w:rsid w:val="00053572"/>
    <w:rsid w:val="00053D4B"/>
    <w:rsid w:val="00054B19"/>
    <w:rsid w:val="00062C1B"/>
    <w:rsid w:val="000714DD"/>
    <w:rsid w:val="00072D01"/>
    <w:rsid w:val="0007345A"/>
    <w:rsid w:val="00073689"/>
    <w:rsid w:val="0007497D"/>
    <w:rsid w:val="00075656"/>
    <w:rsid w:val="0007683E"/>
    <w:rsid w:val="00080A3E"/>
    <w:rsid w:val="000820B6"/>
    <w:rsid w:val="00082479"/>
    <w:rsid w:val="00082D40"/>
    <w:rsid w:val="000903B9"/>
    <w:rsid w:val="00093139"/>
    <w:rsid w:val="0009320A"/>
    <w:rsid w:val="000943D3"/>
    <w:rsid w:val="00094742"/>
    <w:rsid w:val="00095A8D"/>
    <w:rsid w:val="00097179"/>
    <w:rsid w:val="000976AF"/>
    <w:rsid w:val="000A0149"/>
    <w:rsid w:val="000B490D"/>
    <w:rsid w:val="000B57C9"/>
    <w:rsid w:val="000B69B9"/>
    <w:rsid w:val="000C08B3"/>
    <w:rsid w:val="000C4AFE"/>
    <w:rsid w:val="000C5CFB"/>
    <w:rsid w:val="000D08E3"/>
    <w:rsid w:val="000D1B36"/>
    <w:rsid w:val="000D2661"/>
    <w:rsid w:val="000D3EEA"/>
    <w:rsid w:val="000D5111"/>
    <w:rsid w:val="000D5D8D"/>
    <w:rsid w:val="000D6A02"/>
    <w:rsid w:val="000D7679"/>
    <w:rsid w:val="000E1303"/>
    <w:rsid w:val="000E5B8C"/>
    <w:rsid w:val="000E5F3B"/>
    <w:rsid w:val="000E6739"/>
    <w:rsid w:val="000E7C2F"/>
    <w:rsid w:val="000E7F1A"/>
    <w:rsid w:val="000F3548"/>
    <w:rsid w:val="000F3C16"/>
    <w:rsid w:val="000F456D"/>
    <w:rsid w:val="000F4651"/>
    <w:rsid w:val="000F5401"/>
    <w:rsid w:val="000F6D55"/>
    <w:rsid w:val="00100671"/>
    <w:rsid w:val="00101E10"/>
    <w:rsid w:val="001023CD"/>
    <w:rsid w:val="00102AC7"/>
    <w:rsid w:val="0011087B"/>
    <w:rsid w:val="00112F38"/>
    <w:rsid w:val="001137D8"/>
    <w:rsid w:val="00115C8B"/>
    <w:rsid w:val="00116018"/>
    <w:rsid w:val="00116330"/>
    <w:rsid w:val="00116AA1"/>
    <w:rsid w:val="00117F21"/>
    <w:rsid w:val="00125E83"/>
    <w:rsid w:val="0012665A"/>
    <w:rsid w:val="00130466"/>
    <w:rsid w:val="00130E52"/>
    <w:rsid w:val="00131AEF"/>
    <w:rsid w:val="00131AF6"/>
    <w:rsid w:val="001333CC"/>
    <w:rsid w:val="00135237"/>
    <w:rsid w:val="00135C0C"/>
    <w:rsid w:val="00135ED9"/>
    <w:rsid w:val="0013685A"/>
    <w:rsid w:val="00137229"/>
    <w:rsid w:val="00137A0D"/>
    <w:rsid w:val="00140723"/>
    <w:rsid w:val="0014512B"/>
    <w:rsid w:val="00151545"/>
    <w:rsid w:val="0015575A"/>
    <w:rsid w:val="0015724F"/>
    <w:rsid w:val="001578B4"/>
    <w:rsid w:val="00160B49"/>
    <w:rsid w:val="0016250E"/>
    <w:rsid w:val="00165E8D"/>
    <w:rsid w:val="00166294"/>
    <w:rsid w:val="00167058"/>
    <w:rsid w:val="001713D0"/>
    <w:rsid w:val="001713E8"/>
    <w:rsid w:val="00171CFC"/>
    <w:rsid w:val="0017213B"/>
    <w:rsid w:val="001731BC"/>
    <w:rsid w:val="001761BA"/>
    <w:rsid w:val="00180B18"/>
    <w:rsid w:val="00184774"/>
    <w:rsid w:val="00191E4B"/>
    <w:rsid w:val="00192142"/>
    <w:rsid w:val="00193FB5"/>
    <w:rsid w:val="00194DAA"/>
    <w:rsid w:val="00195BC9"/>
    <w:rsid w:val="00196EB8"/>
    <w:rsid w:val="001A0CA9"/>
    <w:rsid w:val="001A2648"/>
    <w:rsid w:val="001A292E"/>
    <w:rsid w:val="001A33B4"/>
    <w:rsid w:val="001A3E53"/>
    <w:rsid w:val="001A5C27"/>
    <w:rsid w:val="001B5623"/>
    <w:rsid w:val="001B697E"/>
    <w:rsid w:val="001B700B"/>
    <w:rsid w:val="001C16C6"/>
    <w:rsid w:val="001C230A"/>
    <w:rsid w:val="001C47BC"/>
    <w:rsid w:val="001C7201"/>
    <w:rsid w:val="001D06DE"/>
    <w:rsid w:val="001D0C6B"/>
    <w:rsid w:val="001D77BF"/>
    <w:rsid w:val="001E130F"/>
    <w:rsid w:val="001E6EE7"/>
    <w:rsid w:val="00200D05"/>
    <w:rsid w:val="00202484"/>
    <w:rsid w:val="002030E0"/>
    <w:rsid w:val="002035D1"/>
    <w:rsid w:val="00203CB9"/>
    <w:rsid w:val="002042F4"/>
    <w:rsid w:val="00206517"/>
    <w:rsid w:val="00210734"/>
    <w:rsid w:val="00210B51"/>
    <w:rsid w:val="00210DED"/>
    <w:rsid w:val="00210F3A"/>
    <w:rsid w:val="002128CB"/>
    <w:rsid w:val="00213907"/>
    <w:rsid w:val="00214980"/>
    <w:rsid w:val="0021541D"/>
    <w:rsid w:val="002161E9"/>
    <w:rsid w:val="0021634E"/>
    <w:rsid w:val="002172E4"/>
    <w:rsid w:val="00217721"/>
    <w:rsid w:val="0022007F"/>
    <w:rsid w:val="002210B5"/>
    <w:rsid w:val="002231F3"/>
    <w:rsid w:val="0022555B"/>
    <w:rsid w:val="00226B62"/>
    <w:rsid w:val="002320B2"/>
    <w:rsid w:val="00240A1A"/>
    <w:rsid w:val="00241DAF"/>
    <w:rsid w:val="002500AE"/>
    <w:rsid w:val="00250F84"/>
    <w:rsid w:val="0025253E"/>
    <w:rsid w:val="002551B5"/>
    <w:rsid w:val="00255A28"/>
    <w:rsid w:val="00255B1C"/>
    <w:rsid w:val="00255C24"/>
    <w:rsid w:val="0025682E"/>
    <w:rsid w:val="00265C59"/>
    <w:rsid w:val="002679E3"/>
    <w:rsid w:val="002708BF"/>
    <w:rsid w:val="00270C62"/>
    <w:rsid w:val="00270E81"/>
    <w:rsid w:val="002724CB"/>
    <w:rsid w:val="00274032"/>
    <w:rsid w:val="002757FA"/>
    <w:rsid w:val="0027706D"/>
    <w:rsid w:val="00284047"/>
    <w:rsid w:val="002874D0"/>
    <w:rsid w:val="002902C2"/>
    <w:rsid w:val="00290947"/>
    <w:rsid w:val="00293304"/>
    <w:rsid w:val="00293507"/>
    <w:rsid w:val="00295D32"/>
    <w:rsid w:val="002A5C37"/>
    <w:rsid w:val="002B0D7B"/>
    <w:rsid w:val="002B2317"/>
    <w:rsid w:val="002B5DFA"/>
    <w:rsid w:val="002B5F72"/>
    <w:rsid w:val="002B613C"/>
    <w:rsid w:val="002B7E03"/>
    <w:rsid w:val="002C6AE3"/>
    <w:rsid w:val="002C7D5D"/>
    <w:rsid w:val="002D0B08"/>
    <w:rsid w:val="002D2A82"/>
    <w:rsid w:val="002D4DBA"/>
    <w:rsid w:val="002E2D9D"/>
    <w:rsid w:val="002F0DEE"/>
    <w:rsid w:val="002F1370"/>
    <w:rsid w:val="002F1475"/>
    <w:rsid w:val="002F16BC"/>
    <w:rsid w:val="002F2DA0"/>
    <w:rsid w:val="002F405E"/>
    <w:rsid w:val="002F558F"/>
    <w:rsid w:val="003007D5"/>
    <w:rsid w:val="0030222B"/>
    <w:rsid w:val="00303AD3"/>
    <w:rsid w:val="0031331C"/>
    <w:rsid w:val="00315E00"/>
    <w:rsid w:val="00317371"/>
    <w:rsid w:val="00320615"/>
    <w:rsid w:val="003259FA"/>
    <w:rsid w:val="00330CB8"/>
    <w:rsid w:val="00330D46"/>
    <w:rsid w:val="00331199"/>
    <w:rsid w:val="0033191E"/>
    <w:rsid w:val="00332556"/>
    <w:rsid w:val="00333A53"/>
    <w:rsid w:val="003350E6"/>
    <w:rsid w:val="003376E2"/>
    <w:rsid w:val="00337B03"/>
    <w:rsid w:val="00342746"/>
    <w:rsid w:val="00343D1A"/>
    <w:rsid w:val="0034573B"/>
    <w:rsid w:val="00346008"/>
    <w:rsid w:val="00346F24"/>
    <w:rsid w:val="00354268"/>
    <w:rsid w:val="00354856"/>
    <w:rsid w:val="00354B73"/>
    <w:rsid w:val="0036486C"/>
    <w:rsid w:val="00364F53"/>
    <w:rsid w:val="00366633"/>
    <w:rsid w:val="003676FA"/>
    <w:rsid w:val="00367942"/>
    <w:rsid w:val="00367C85"/>
    <w:rsid w:val="00367EB3"/>
    <w:rsid w:val="00372B04"/>
    <w:rsid w:val="00373D53"/>
    <w:rsid w:val="00375D61"/>
    <w:rsid w:val="00375EA6"/>
    <w:rsid w:val="0037641C"/>
    <w:rsid w:val="003801E3"/>
    <w:rsid w:val="00380715"/>
    <w:rsid w:val="003808ED"/>
    <w:rsid w:val="00382111"/>
    <w:rsid w:val="003826F2"/>
    <w:rsid w:val="00385F8E"/>
    <w:rsid w:val="003958B2"/>
    <w:rsid w:val="003A0EDD"/>
    <w:rsid w:val="003A563A"/>
    <w:rsid w:val="003A67AA"/>
    <w:rsid w:val="003A6CDB"/>
    <w:rsid w:val="003B00FC"/>
    <w:rsid w:val="003B0D04"/>
    <w:rsid w:val="003B12C6"/>
    <w:rsid w:val="003B39C7"/>
    <w:rsid w:val="003B4590"/>
    <w:rsid w:val="003C14E3"/>
    <w:rsid w:val="003C14F5"/>
    <w:rsid w:val="003C17CA"/>
    <w:rsid w:val="003C245B"/>
    <w:rsid w:val="003C4FB7"/>
    <w:rsid w:val="003C691A"/>
    <w:rsid w:val="003C7618"/>
    <w:rsid w:val="003D24F4"/>
    <w:rsid w:val="003D6411"/>
    <w:rsid w:val="003E19BA"/>
    <w:rsid w:val="003E221F"/>
    <w:rsid w:val="003E36A4"/>
    <w:rsid w:val="003E68AE"/>
    <w:rsid w:val="003F0352"/>
    <w:rsid w:val="003F1639"/>
    <w:rsid w:val="003F2BEA"/>
    <w:rsid w:val="003F37B8"/>
    <w:rsid w:val="003F3A01"/>
    <w:rsid w:val="003F3DA7"/>
    <w:rsid w:val="003F41C6"/>
    <w:rsid w:val="003F6FD8"/>
    <w:rsid w:val="003F7188"/>
    <w:rsid w:val="003F7BF9"/>
    <w:rsid w:val="0040016D"/>
    <w:rsid w:val="00402B14"/>
    <w:rsid w:val="00406B64"/>
    <w:rsid w:val="00407134"/>
    <w:rsid w:val="00407C3A"/>
    <w:rsid w:val="00410428"/>
    <w:rsid w:val="00410A45"/>
    <w:rsid w:val="00411169"/>
    <w:rsid w:val="00413C68"/>
    <w:rsid w:val="00414C72"/>
    <w:rsid w:val="0041552D"/>
    <w:rsid w:val="00415B4B"/>
    <w:rsid w:val="00416F74"/>
    <w:rsid w:val="00422459"/>
    <w:rsid w:val="00424BE6"/>
    <w:rsid w:val="00425D34"/>
    <w:rsid w:val="004278DD"/>
    <w:rsid w:val="00433F57"/>
    <w:rsid w:val="004356C4"/>
    <w:rsid w:val="00444555"/>
    <w:rsid w:val="00445C8E"/>
    <w:rsid w:val="00445FA4"/>
    <w:rsid w:val="0045196A"/>
    <w:rsid w:val="00453FE8"/>
    <w:rsid w:val="004549CA"/>
    <w:rsid w:val="00455338"/>
    <w:rsid w:val="00456326"/>
    <w:rsid w:val="00457C75"/>
    <w:rsid w:val="00460A18"/>
    <w:rsid w:val="00461876"/>
    <w:rsid w:val="00461C49"/>
    <w:rsid w:val="00463846"/>
    <w:rsid w:val="00465CBF"/>
    <w:rsid w:val="0046764B"/>
    <w:rsid w:val="00470366"/>
    <w:rsid w:val="00470D7A"/>
    <w:rsid w:val="0047135D"/>
    <w:rsid w:val="00474071"/>
    <w:rsid w:val="00476AAB"/>
    <w:rsid w:val="00477FA7"/>
    <w:rsid w:val="004806C6"/>
    <w:rsid w:val="00480D42"/>
    <w:rsid w:val="00483759"/>
    <w:rsid w:val="00484106"/>
    <w:rsid w:val="00485A67"/>
    <w:rsid w:val="00486909"/>
    <w:rsid w:val="00491636"/>
    <w:rsid w:val="004918EF"/>
    <w:rsid w:val="00493CCC"/>
    <w:rsid w:val="00494423"/>
    <w:rsid w:val="00494596"/>
    <w:rsid w:val="00495BE3"/>
    <w:rsid w:val="00496B15"/>
    <w:rsid w:val="004A16C0"/>
    <w:rsid w:val="004A267A"/>
    <w:rsid w:val="004A29FB"/>
    <w:rsid w:val="004A7AEB"/>
    <w:rsid w:val="004B05E6"/>
    <w:rsid w:val="004B3313"/>
    <w:rsid w:val="004B593E"/>
    <w:rsid w:val="004B7803"/>
    <w:rsid w:val="004B7EA8"/>
    <w:rsid w:val="004C292B"/>
    <w:rsid w:val="004C3A80"/>
    <w:rsid w:val="004C5FA7"/>
    <w:rsid w:val="004C65CE"/>
    <w:rsid w:val="004C6EC5"/>
    <w:rsid w:val="004C79DB"/>
    <w:rsid w:val="004D0B86"/>
    <w:rsid w:val="004D115D"/>
    <w:rsid w:val="004D1E68"/>
    <w:rsid w:val="004D48E0"/>
    <w:rsid w:val="004D4AFF"/>
    <w:rsid w:val="004D61E1"/>
    <w:rsid w:val="004E01C6"/>
    <w:rsid w:val="004E29E6"/>
    <w:rsid w:val="004E7EF2"/>
    <w:rsid w:val="004F00D1"/>
    <w:rsid w:val="004F0123"/>
    <w:rsid w:val="004F028A"/>
    <w:rsid w:val="004F0EB0"/>
    <w:rsid w:val="004F42D5"/>
    <w:rsid w:val="004F461B"/>
    <w:rsid w:val="004F7FAF"/>
    <w:rsid w:val="005012C4"/>
    <w:rsid w:val="0050548D"/>
    <w:rsid w:val="005073C6"/>
    <w:rsid w:val="00512B3B"/>
    <w:rsid w:val="00512BE3"/>
    <w:rsid w:val="00514101"/>
    <w:rsid w:val="00516167"/>
    <w:rsid w:val="005167AD"/>
    <w:rsid w:val="0052036F"/>
    <w:rsid w:val="00520D62"/>
    <w:rsid w:val="0052196A"/>
    <w:rsid w:val="00526538"/>
    <w:rsid w:val="00531A00"/>
    <w:rsid w:val="005334D0"/>
    <w:rsid w:val="00543CD1"/>
    <w:rsid w:val="00547B4B"/>
    <w:rsid w:val="005504B6"/>
    <w:rsid w:val="00560C5F"/>
    <w:rsid w:val="00571335"/>
    <w:rsid w:val="00571F1B"/>
    <w:rsid w:val="005749A2"/>
    <w:rsid w:val="00574EE8"/>
    <w:rsid w:val="005764ED"/>
    <w:rsid w:val="005804E7"/>
    <w:rsid w:val="005818FB"/>
    <w:rsid w:val="005827E3"/>
    <w:rsid w:val="00582FFA"/>
    <w:rsid w:val="00583A2C"/>
    <w:rsid w:val="005844F7"/>
    <w:rsid w:val="00584818"/>
    <w:rsid w:val="005919D8"/>
    <w:rsid w:val="00591D41"/>
    <w:rsid w:val="0059472F"/>
    <w:rsid w:val="0059487B"/>
    <w:rsid w:val="00594F52"/>
    <w:rsid w:val="00596F53"/>
    <w:rsid w:val="00597A7F"/>
    <w:rsid w:val="005A0008"/>
    <w:rsid w:val="005A3E32"/>
    <w:rsid w:val="005A622E"/>
    <w:rsid w:val="005A6982"/>
    <w:rsid w:val="005A6E67"/>
    <w:rsid w:val="005B1B54"/>
    <w:rsid w:val="005B4203"/>
    <w:rsid w:val="005B6044"/>
    <w:rsid w:val="005B63CE"/>
    <w:rsid w:val="005B6D94"/>
    <w:rsid w:val="005B7823"/>
    <w:rsid w:val="005C1E65"/>
    <w:rsid w:val="005C2CDD"/>
    <w:rsid w:val="005D03BF"/>
    <w:rsid w:val="005D720E"/>
    <w:rsid w:val="005E2F73"/>
    <w:rsid w:val="005E33D3"/>
    <w:rsid w:val="005E3A9B"/>
    <w:rsid w:val="005E3E2E"/>
    <w:rsid w:val="005E4906"/>
    <w:rsid w:val="005E77CA"/>
    <w:rsid w:val="005E78A8"/>
    <w:rsid w:val="005E7980"/>
    <w:rsid w:val="005F0A92"/>
    <w:rsid w:val="005F2E2E"/>
    <w:rsid w:val="00603198"/>
    <w:rsid w:val="006032F9"/>
    <w:rsid w:val="006040EA"/>
    <w:rsid w:val="006054F3"/>
    <w:rsid w:val="006055E6"/>
    <w:rsid w:val="00606085"/>
    <w:rsid w:val="00607770"/>
    <w:rsid w:val="006116E7"/>
    <w:rsid w:val="00611B47"/>
    <w:rsid w:val="00621140"/>
    <w:rsid w:val="006213D1"/>
    <w:rsid w:val="00622A2D"/>
    <w:rsid w:val="00622F6F"/>
    <w:rsid w:val="00622F76"/>
    <w:rsid w:val="00624090"/>
    <w:rsid w:val="0063220B"/>
    <w:rsid w:val="00633F3A"/>
    <w:rsid w:val="00633FB4"/>
    <w:rsid w:val="006346EC"/>
    <w:rsid w:val="00634980"/>
    <w:rsid w:val="00637803"/>
    <w:rsid w:val="00640207"/>
    <w:rsid w:val="00640A44"/>
    <w:rsid w:val="006410F0"/>
    <w:rsid w:val="00642EC9"/>
    <w:rsid w:val="00643203"/>
    <w:rsid w:val="006469C7"/>
    <w:rsid w:val="006474C2"/>
    <w:rsid w:val="00647EB9"/>
    <w:rsid w:val="0065122C"/>
    <w:rsid w:val="00653B20"/>
    <w:rsid w:val="00655F61"/>
    <w:rsid w:val="006567A5"/>
    <w:rsid w:val="00656AC0"/>
    <w:rsid w:val="00663219"/>
    <w:rsid w:val="00664C7D"/>
    <w:rsid w:val="00665E89"/>
    <w:rsid w:val="006737C1"/>
    <w:rsid w:val="00674ECA"/>
    <w:rsid w:val="006777AF"/>
    <w:rsid w:val="0068015D"/>
    <w:rsid w:val="00680AEF"/>
    <w:rsid w:val="006875DD"/>
    <w:rsid w:val="00693430"/>
    <w:rsid w:val="0069393C"/>
    <w:rsid w:val="00697BE7"/>
    <w:rsid w:val="006A04D8"/>
    <w:rsid w:val="006A3752"/>
    <w:rsid w:val="006A7E3D"/>
    <w:rsid w:val="006B19E4"/>
    <w:rsid w:val="006B211B"/>
    <w:rsid w:val="006B26C3"/>
    <w:rsid w:val="006B371D"/>
    <w:rsid w:val="006B57D4"/>
    <w:rsid w:val="006B60B1"/>
    <w:rsid w:val="006B61C6"/>
    <w:rsid w:val="006B775D"/>
    <w:rsid w:val="006C0D75"/>
    <w:rsid w:val="006C3562"/>
    <w:rsid w:val="006C439B"/>
    <w:rsid w:val="006C57EB"/>
    <w:rsid w:val="006D343D"/>
    <w:rsid w:val="006D5ED3"/>
    <w:rsid w:val="006D6F5C"/>
    <w:rsid w:val="006F06CF"/>
    <w:rsid w:val="006F2AF6"/>
    <w:rsid w:val="006F3C8D"/>
    <w:rsid w:val="006F4274"/>
    <w:rsid w:val="00705345"/>
    <w:rsid w:val="0070559E"/>
    <w:rsid w:val="00711017"/>
    <w:rsid w:val="007113E9"/>
    <w:rsid w:val="00711CDF"/>
    <w:rsid w:val="0071201B"/>
    <w:rsid w:val="00713768"/>
    <w:rsid w:val="00714092"/>
    <w:rsid w:val="00716D3D"/>
    <w:rsid w:val="00726C0B"/>
    <w:rsid w:val="00726CB3"/>
    <w:rsid w:val="00727F64"/>
    <w:rsid w:val="0073049C"/>
    <w:rsid w:val="00730683"/>
    <w:rsid w:val="007310D6"/>
    <w:rsid w:val="007336B6"/>
    <w:rsid w:val="00735410"/>
    <w:rsid w:val="00736165"/>
    <w:rsid w:val="00736F17"/>
    <w:rsid w:val="007376F9"/>
    <w:rsid w:val="00740011"/>
    <w:rsid w:val="00742B7E"/>
    <w:rsid w:val="00742BFB"/>
    <w:rsid w:val="0074561A"/>
    <w:rsid w:val="0074569F"/>
    <w:rsid w:val="007520F5"/>
    <w:rsid w:val="00754DF0"/>
    <w:rsid w:val="007566C5"/>
    <w:rsid w:val="00756F17"/>
    <w:rsid w:val="00757063"/>
    <w:rsid w:val="00757DF8"/>
    <w:rsid w:val="007607F1"/>
    <w:rsid w:val="007619C8"/>
    <w:rsid w:val="00761E54"/>
    <w:rsid w:val="00763039"/>
    <w:rsid w:val="0076332A"/>
    <w:rsid w:val="00764FF4"/>
    <w:rsid w:val="00771E2F"/>
    <w:rsid w:val="00772E80"/>
    <w:rsid w:val="00775FDD"/>
    <w:rsid w:val="007772C2"/>
    <w:rsid w:val="007818F5"/>
    <w:rsid w:val="00782DDB"/>
    <w:rsid w:val="00786E15"/>
    <w:rsid w:val="007872EE"/>
    <w:rsid w:val="00790869"/>
    <w:rsid w:val="007938B6"/>
    <w:rsid w:val="00793C39"/>
    <w:rsid w:val="00793C7E"/>
    <w:rsid w:val="007946FE"/>
    <w:rsid w:val="00796ADA"/>
    <w:rsid w:val="007A22D3"/>
    <w:rsid w:val="007A28BF"/>
    <w:rsid w:val="007A688B"/>
    <w:rsid w:val="007A6B25"/>
    <w:rsid w:val="007B5343"/>
    <w:rsid w:val="007B73B8"/>
    <w:rsid w:val="007C0C52"/>
    <w:rsid w:val="007C317F"/>
    <w:rsid w:val="007C3DE3"/>
    <w:rsid w:val="007C4CD3"/>
    <w:rsid w:val="007D33BC"/>
    <w:rsid w:val="007D682A"/>
    <w:rsid w:val="007D68EB"/>
    <w:rsid w:val="007D7402"/>
    <w:rsid w:val="007E0950"/>
    <w:rsid w:val="007E0FD0"/>
    <w:rsid w:val="007E3EF1"/>
    <w:rsid w:val="007E4F7B"/>
    <w:rsid w:val="007E6744"/>
    <w:rsid w:val="007E726B"/>
    <w:rsid w:val="007F0001"/>
    <w:rsid w:val="007F0AE3"/>
    <w:rsid w:val="007F6DE6"/>
    <w:rsid w:val="007F6F29"/>
    <w:rsid w:val="0080346F"/>
    <w:rsid w:val="00807711"/>
    <w:rsid w:val="00807F8E"/>
    <w:rsid w:val="00811DEF"/>
    <w:rsid w:val="00813EB7"/>
    <w:rsid w:val="0081484E"/>
    <w:rsid w:val="00815BF3"/>
    <w:rsid w:val="00815D33"/>
    <w:rsid w:val="008163C1"/>
    <w:rsid w:val="00822236"/>
    <w:rsid w:val="00824267"/>
    <w:rsid w:val="00824F90"/>
    <w:rsid w:val="0082596D"/>
    <w:rsid w:val="008268B7"/>
    <w:rsid w:val="00830D24"/>
    <w:rsid w:val="00830DC9"/>
    <w:rsid w:val="00834FFB"/>
    <w:rsid w:val="00835CCD"/>
    <w:rsid w:val="00837840"/>
    <w:rsid w:val="0084057E"/>
    <w:rsid w:val="008511E3"/>
    <w:rsid w:val="00851680"/>
    <w:rsid w:val="00852958"/>
    <w:rsid w:val="008541E4"/>
    <w:rsid w:val="00854528"/>
    <w:rsid w:val="00856975"/>
    <w:rsid w:val="00856AEF"/>
    <w:rsid w:val="00861991"/>
    <w:rsid w:val="0086273C"/>
    <w:rsid w:val="008655E9"/>
    <w:rsid w:val="008674D0"/>
    <w:rsid w:val="00873F10"/>
    <w:rsid w:val="00875F2A"/>
    <w:rsid w:val="00877007"/>
    <w:rsid w:val="008803F9"/>
    <w:rsid w:val="00881E55"/>
    <w:rsid w:val="008840AA"/>
    <w:rsid w:val="00896439"/>
    <w:rsid w:val="008A072A"/>
    <w:rsid w:val="008A2852"/>
    <w:rsid w:val="008A7977"/>
    <w:rsid w:val="008B2490"/>
    <w:rsid w:val="008B442F"/>
    <w:rsid w:val="008B546C"/>
    <w:rsid w:val="008B579B"/>
    <w:rsid w:val="008B6FAD"/>
    <w:rsid w:val="008C0A6B"/>
    <w:rsid w:val="008C0C3A"/>
    <w:rsid w:val="008C0E1F"/>
    <w:rsid w:val="008C16D4"/>
    <w:rsid w:val="008C18DA"/>
    <w:rsid w:val="008C1E45"/>
    <w:rsid w:val="008C34AE"/>
    <w:rsid w:val="008C3514"/>
    <w:rsid w:val="008C684D"/>
    <w:rsid w:val="008C7100"/>
    <w:rsid w:val="008C7B0C"/>
    <w:rsid w:val="008C7F0A"/>
    <w:rsid w:val="008D270F"/>
    <w:rsid w:val="008D4D74"/>
    <w:rsid w:val="008D6148"/>
    <w:rsid w:val="008D6461"/>
    <w:rsid w:val="008D6FCD"/>
    <w:rsid w:val="008D7FEB"/>
    <w:rsid w:val="008E06AD"/>
    <w:rsid w:val="008E08DC"/>
    <w:rsid w:val="008E1E96"/>
    <w:rsid w:val="008E2E72"/>
    <w:rsid w:val="008E2E8E"/>
    <w:rsid w:val="008E70FF"/>
    <w:rsid w:val="008E7C2C"/>
    <w:rsid w:val="008F5D4D"/>
    <w:rsid w:val="008F6E83"/>
    <w:rsid w:val="00904807"/>
    <w:rsid w:val="00911C6E"/>
    <w:rsid w:val="009125EC"/>
    <w:rsid w:val="0091310E"/>
    <w:rsid w:val="009135A1"/>
    <w:rsid w:val="00914003"/>
    <w:rsid w:val="00921986"/>
    <w:rsid w:val="00922CCD"/>
    <w:rsid w:val="00923AE1"/>
    <w:rsid w:val="0092402F"/>
    <w:rsid w:val="0092526A"/>
    <w:rsid w:val="009257AF"/>
    <w:rsid w:val="00927470"/>
    <w:rsid w:val="00936BDC"/>
    <w:rsid w:val="00940A34"/>
    <w:rsid w:val="0094110E"/>
    <w:rsid w:val="00941D72"/>
    <w:rsid w:val="009421B1"/>
    <w:rsid w:val="0095562E"/>
    <w:rsid w:val="00965C9D"/>
    <w:rsid w:val="00967441"/>
    <w:rsid w:val="00967849"/>
    <w:rsid w:val="00971C2C"/>
    <w:rsid w:val="009725BF"/>
    <w:rsid w:val="00972D4B"/>
    <w:rsid w:val="00973E25"/>
    <w:rsid w:val="009742CE"/>
    <w:rsid w:val="009750AF"/>
    <w:rsid w:val="0098030A"/>
    <w:rsid w:val="00981BD6"/>
    <w:rsid w:val="00986E1D"/>
    <w:rsid w:val="00991927"/>
    <w:rsid w:val="009921A1"/>
    <w:rsid w:val="00992229"/>
    <w:rsid w:val="00994B0D"/>
    <w:rsid w:val="009956F1"/>
    <w:rsid w:val="009A0E88"/>
    <w:rsid w:val="009B2CD1"/>
    <w:rsid w:val="009C09F6"/>
    <w:rsid w:val="009C0F40"/>
    <w:rsid w:val="009C137D"/>
    <w:rsid w:val="009C1889"/>
    <w:rsid w:val="009C2202"/>
    <w:rsid w:val="009C2706"/>
    <w:rsid w:val="009C3A79"/>
    <w:rsid w:val="009C3DE8"/>
    <w:rsid w:val="009C5C85"/>
    <w:rsid w:val="009C7FB3"/>
    <w:rsid w:val="009D4CE0"/>
    <w:rsid w:val="009D6A09"/>
    <w:rsid w:val="009D7453"/>
    <w:rsid w:val="009D74D2"/>
    <w:rsid w:val="009D7813"/>
    <w:rsid w:val="009E2541"/>
    <w:rsid w:val="009E56DF"/>
    <w:rsid w:val="009F1488"/>
    <w:rsid w:val="009F4505"/>
    <w:rsid w:val="00A00112"/>
    <w:rsid w:val="00A05DF1"/>
    <w:rsid w:val="00A128AA"/>
    <w:rsid w:val="00A13622"/>
    <w:rsid w:val="00A136EE"/>
    <w:rsid w:val="00A1402B"/>
    <w:rsid w:val="00A166E5"/>
    <w:rsid w:val="00A176E8"/>
    <w:rsid w:val="00A17CA7"/>
    <w:rsid w:val="00A2038F"/>
    <w:rsid w:val="00A210C7"/>
    <w:rsid w:val="00A246F7"/>
    <w:rsid w:val="00A26FAB"/>
    <w:rsid w:val="00A30110"/>
    <w:rsid w:val="00A31203"/>
    <w:rsid w:val="00A31F81"/>
    <w:rsid w:val="00A3416F"/>
    <w:rsid w:val="00A34808"/>
    <w:rsid w:val="00A43099"/>
    <w:rsid w:val="00A430FC"/>
    <w:rsid w:val="00A44C8A"/>
    <w:rsid w:val="00A44E54"/>
    <w:rsid w:val="00A50523"/>
    <w:rsid w:val="00A5167D"/>
    <w:rsid w:val="00A527E3"/>
    <w:rsid w:val="00A5329E"/>
    <w:rsid w:val="00A54029"/>
    <w:rsid w:val="00A549AE"/>
    <w:rsid w:val="00A55A3C"/>
    <w:rsid w:val="00A57FA6"/>
    <w:rsid w:val="00A60324"/>
    <w:rsid w:val="00A628E5"/>
    <w:rsid w:val="00A62CCA"/>
    <w:rsid w:val="00A70DFE"/>
    <w:rsid w:val="00A72093"/>
    <w:rsid w:val="00A7569C"/>
    <w:rsid w:val="00A81C94"/>
    <w:rsid w:val="00A81F67"/>
    <w:rsid w:val="00A8394A"/>
    <w:rsid w:val="00A840C7"/>
    <w:rsid w:val="00A8594C"/>
    <w:rsid w:val="00A86B51"/>
    <w:rsid w:val="00A920B6"/>
    <w:rsid w:val="00A95818"/>
    <w:rsid w:val="00A969FC"/>
    <w:rsid w:val="00A9703C"/>
    <w:rsid w:val="00AA0F97"/>
    <w:rsid w:val="00AA37B7"/>
    <w:rsid w:val="00AA44AE"/>
    <w:rsid w:val="00AB2147"/>
    <w:rsid w:val="00AB302E"/>
    <w:rsid w:val="00AB3C74"/>
    <w:rsid w:val="00AB7074"/>
    <w:rsid w:val="00AC3C1A"/>
    <w:rsid w:val="00AC42F0"/>
    <w:rsid w:val="00AC4330"/>
    <w:rsid w:val="00AD19F0"/>
    <w:rsid w:val="00AD22F0"/>
    <w:rsid w:val="00AD51F7"/>
    <w:rsid w:val="00AE2EEA"/>
    <w:rsid w:val="00AE5178"/>
    <w:rsid w:val="00AE53A9"/>
    <w:rsid w:val="00AE61D9"/>
    <w:rsid w:val="00AE7DC2"/>
    <w:rsid w:val="00AF00FC"/>
    <w:rsid w:val="00AF0C73"/>
    <w:rsid w:val="00AF4F0B"/>
    <w:rsid w:val="00B021EE"/>
    <w:rsid w:val="00B03357"/>
    <w:rsid w:val="00B03F53"/>
    <w:rsid w:val="00B112CB"/>
    <w:rsid w:val="00B11BBD"/>
    <w:rsid w:val="00B12BED"/>
    <w:rsid w:val="00B157CE"/>
    <w:rsid w:val="00B16839"/>
    <w:rsid w:val="00B23744"/>
    <w:rsid w:val="00B239AF"/>
    <w:rsid w:val="00B27111"/>
    <w:rsid w:val="00B32523"/>
    <w:rsid w:val="00B34B8D"/>
    <w:rsid w:val="00B42B54"/>
    <w:rsid w:val="00B45365"/>
    <w:rsid w:val="00B4689D"/>
    <w:rsid w:val="00B47EE4"/>
    <w:rsid w:val="00B50682"/>
    <w:rsid w:val="00B507B4"/>
    <w:rsid w:val="00B51A37"/>
    <w:rsid w:val="00B5210D"/>
    <w:rsid w:val="00B522A4"/>
    <w:rsid w:val="00B53554"/>
    <w:rsid w:val="00B53EBA"/>
    <w:rsid w:val="00B560C7"/>
    <w:rsid w:val="00B63A8F"/>
    <w:rsid w:val="00B65BCB"/>
    <w:rsid w:val="00B65CAD"/>
    <w:rsid w:val="00B74C2D"/>
    <w:rsid w:val="00B75B92"/>
    <w:rsid w:val="00B81D8A"/>
    <w:rsid w:val="00B830EA"/>
    <w:rsid w:val="00B8316A"/>
    <w:rsid w:val="00B84630"/>
    <w:rsid w:val="00B85C69"/>
    <w:rsid w:val="00B87503"/>
    <w:rsid w:val="00B90D0F"/>
    <w:rsid w:val="00B923BF"/>
    <w:rsid w:val="00B9352B"/>
    <w:rsid w:val="00B93879"/>
    <w:rsid w:val="00B94541"/>
    <w:rsid w:val="00BA0BEF"/>
    <w:rsid w:val="00BA29D1"/>
    <w:rsid w:val="00BA30AC"/>
    <w:rsid w:val="00BA58BE"/>
    <w:rsid w:val="00BA614D"/>
    <w:rsid w:val="00BA6DE5"/>
    <w:rsid w:val="00BB10C3"/>
    <w:rsid w:val="00BB32CD"/>
    <w:rsid w:val="00BC1628"/>
    <w:rsid w:val="00BC1B84"/>
    <w:rsid w:val="00BC3CB5"/>
    <w:rsid w:val="00BC3EAC"/>
    <w:rsid w:val="00BC7194"/>
    <w:rsid w:val="00BC7899"/>
    <w:rsid w:val="00BC7FD6"/>
    <w:rsid w:val="00BD4529"/>
    <w:rsid w:val="00BD60A2"/>
    <w:rsid w:val="00BD6918"/>
    <w:rsid w:val="00BE0EAD"/>
    <w:rsid w:val="00BE305F"/>
    <w:rsid w:val="00BE738B"/>
    <w:rsid w:val="00BF53D3"/>
    <w:rsid w:val="00BF7951"/>
    <w:rsid w:val="00BF7F82"/>
    <w:rsid w:val="00C01EDC"/>
    <w:rsid w:val="00C04BC7"/>
    <w:rsid w:val="00C064F6"/>
    <w:rsid w:val="00C10EC3"/>
    <w:rsid w:val="00C228F9"/>
    <w:rsid w:val="00C24149"/>
    <w:rsid w:val="00C24E43"/>
    <w:rsid w:val="00C260D4"/>
    <w:rsid w:val="00C26AE4"/>
    <w:rsid w:val="00C30664"/>
    <w:rsid w:val="00C340C0"/>
    <w:rsid w:val="00C34952"/>
    <w:rsid w:val="00C41AB8"/>
    <w:rsid w:val="00C47B42"/>
    <w:rsid w:val="00C5408B"/>
    <w:rsid w:val="00C5498F"/>
    <w:rsid w:val="00C5555C"/>
    <w:rsid w:val="00C559B4"/>
    <w:rsid w:val="00C56354"/>
    <w:rsid w:val="00C60547"/>
    <w:rsid w:val="00C619A8"/>
    <w:rsid w:val="00C61AF2"/>
    <w:rsid w:val="00C63606"/>
    <w:rsid w:val="00C6442D"/>
    <w:rsid w:val="00C64880"/>
    <w:rsid w:val="00C660A5"/>
    <w:rsid w:val="00C669C8"/>
    <w:rsid w:val="00C66A7E"/>
    <w:rsid w:val="00C66CF3"/>
    <w:rsid w:val="00C718BB"/>
    <w:rsid w:val="00C7240A"/>
    <w:rsid w:val="00C74357"/>
    <w:rsid w:val="00C754EC"/>
    <w:rsid w:val="00C76CDD"/>
    <w:rsid w:val="00C81D31"/>
    <w:rsid w:val="00C81DB4"/>
    <w:rsid w:val="00C827B1"/>
    <w:rsid w:val="00C840C7"/>
    <w:rsid w:val="00C8452E"/>
    <w:rsid w:val="00C85001"/>
    <w:rsid w:val="00C91FB7"/>
    <w:rsid w:val="00C92B6D"/>
    <w:rsid w:val="00C964DE"/>
    <w:rsid w:val="00C96521"/>
    <w:rsid w:val="00CA1805"/>
    <w:rsid w:val="00CA2461"/>
    <w:rsid w:val="00CA34C5"/>
    <w:rsid w:val="00CA3719"/>
    <w:rsid w:val="00CA603B"/>
    <w:rsid w:val="00CA6679"/>
    <w:rsid w:val="00CB1953"/>
    <w:rsid w:val="00CB228B"/>
    <w:rsid w:val="00CB4110"/>
    <w:rsid w:val="00CB6098"/>
    <w:rsid w:val="00CC04CE"/>
    <w:rsid w:val="00CC176B"/>
    <w:rsid w:val="00CC271F"/>
    <w:rsid w:val="00CC2BDA"/>
    <w:rsid w:val="00CD2BCE"/>
    <w:rsid w:val="00CD2D1B"/>
    <w:rsid w:val="00CE24C7"/>
    <w:rsid w:val="00CE25B7"/>
    <w:rsid w:val="00CE3246"/>
    <w:rsid w:val="00CE36E0"/>
    <w:rsid w:val="00CE59BA"/>
    <w:rsid w:val="00CE7F85"/>
    <w:rsid w:val="00CF046B"/>
    <w:rsid w:val="00CF4738"/>
    <w:rsid w:val="00CF5459"/>
    <w:rsid w:val="00CF6EBC"/>
    <w:rsid w:val="00D0097E"/>
    <w:rsid w:val="00D034E2"/>
    <w:rsid w:val="00D036A1"/>
    <w:rsid w:val="00D057B0"/>
    <w:rsid w:val="00D077B3"/>
    <w:rsid w:val="00D07B20"/>
    <w:rsid w:val="00D10C7E"/>
    <w:rsid w:val="00D11AA1"/>
    <w:rsid w:val="00D131AD"/>
    <w:rsid w:val="00D135FA"/>
    <w:rsid w:val="00D212D9"/>
    <w:rsid w:val="00D21AA4"/>
    <w:rsid w:val="00D252A0"/>
    <w:rsid w:val="00D263E2"/>
    <w:rsid w:val="00D37A6F"/>
    <w:rsid w:val="00D4255B"/>
    <w:rsid w:val="00D43275"/>
    <w:rsid w:val="00D44D3B"/>
    <w:rsid w:val="00D46D75"/>
    <w:rsid w:val="00D47072"/>
    <w:rsid w:val="00D51122"/>
    <w:rsid w:val="00D520F5"/>
    <w:rsid w:val="00D57919"/>
    <w:rsid w:val="00D61C76"/>
    <w:rsid w:val="00D64E4A"/>
    <w:rsid w:val="00D6669B"/>
    <w:rsid w:val="00D700A0"/>
    <w:rsid w:val="00D71181"/>
    <w:rsid w:val="00D71BC8"/>
    <w:rsid w:val="00D72A7F"/>
    <w:rsid w:val="00D72D2B"/>
    <w:rsid w:val="00D747A9"/>
    <w:rsid w:val="00D7657C"/>
    <w:rsid w:val="00D80E37"/>
    <w:rsid w:val="00D81E84"/>
    <w:rsid w:val="00D8298A"/>
    <w:rsid w:val="00D833A9"/>
    <w:rsid w:val="00D83627"/>
    <w:rsid w:val="00D9436E"/>
    <w:rsid w:val="00D957D4"/>
    <w:rsid w:val="00D965B0"/>
    <w:rsid w:val="00DA079A"/>
    <w:rsid w:val="00DA389B"/>
    <w:rsid w:val="00DA3DD4"/>
    <w:rsid w:val="00DA4497"/>
    <w:rsid w:val="00DA6264"/>
    <w:rsid w:val="00DA67AD"/>
    <w:rsid w:val="00DA6979"/>
    <w:rsid w:val="00DA7241"/>
    <w:rsid w:val="00DB799D"/>
    <w:rsid w:val="00DC1CB9"/>
    <w:rsid w:val="00DC2C1D"/>
    <w:rsid w:val="00DD65BF"/>
    <w:rsid w:val="00DD78B5"/>
    <w:rsid w:val="00DE300A"/>
    <w:rsid w:val="00DE705F"/>
    <w:rsid w:val="00DF1169"/>
    <w:rsid w:val="00DF1798"/>
    <w:rsid w:val="00DF1E4B"/>
    <w:rsid w:val="00DF2044"/>
    <w:rsid w:val="00DF250F"/>
    <w:rsid w:val="00DF467C"/>
    <w:rsid w:val="00DF6467"/>
    <w:rsid w:val="00DF7847"/>
    <w:rsid w:val="00E0043D"/>
    <w:rsid w:val="00E043C1"/>
    <w:rsid w:val="00E06C26"/>
    <w:rsid w:val="00E150BC"/>
    <w:rsid w:val="00E154AE"/>
    <w:rsid w:val="00E15E94"/>
    <w:rsid w:val="00E209D2"/>
    <w:rsid w:val="00E21B24"/>
    <w:rsid w:val="00E23AAB"/>
    <w:rsid w:val="00E2542E"/>
    <w:rsid w:val="00E262BC"/>
    <w:rsid w:val="00E27191"/>
    <w:rsid w:val="00E27631"/>
    <w:rsid w:val="00E27C9D"/>
    <w:rsid w:val="00E342A9"/>
    <w:rsid w:val="00E3481E"/>
    <w:rsid w:val="00E349D7"/>
    <w:rsid w:val="00E40F6A"/>
    <w:rsid w:val="00E43324"/>
    <w:rsid w:val="00E4498A"/>
    <w:rsid w:val="00E468A4"/>
    <w:rsid w:val="00E51509"/>
    <w:rsid w:val="00E5294B"/>
    <w:rsid w:val="00E545B0"/>
    <w:rsid w:val="00E61310"/>
    <w:rsid w:val="00E6178A"/>
    <w:rsid w:val="00E6433B"/>
    <w:rsid w:val="00E65BCF"/>
    <w:rsid w:val="00E70584"/>
    <w:rsid w:val="00E70E3A"/>
    <w:rsid w:val="00E72539"/>
    <w:rsid w:val="00E73CA0"/>
    <w:rsid w:val="00E773F6"/>
    <w:rsid w:val="00E83089"/>
    <w:rsid w:val="00E84938"/>
    <w:rsid w:val="00E84D19"/>
    <w:rsid w:val="00E8736F"/>
    <w:rsid w:val="00E905A6"/>
    <w:rsid w:val="00E90855"/>
    <w:rsid w:val="00E917D9"/>
    <w:rsid w:val="00E92C94"/>
    <w:rsid w:val="00E94138"/>
    <w:rsid w:val="00E979DA"/>
    <w:rsid w:val="00EA38AB"/>
    <w:rsid w:val="00EA39D6"/>
    <w:rsid w:val="00EA50A9"/>
    <w:rsid w:val="00EB3D41"/>
    <w:rsid w:val="00EB410D"/>
    <w:rsid w:val="00EB54E7"/>
    <w:rsid w:val="00EB58A5"/>
    <w:rsid w:val="00EC3D74"/>
    <w:rsid w:val="00EC7AE5"/>
    <w:rsid w:val="00ED19B4"/>
    <w:rsid w:val="00ED47F3"/>
    <w:rsid w:val="00ED57A1"/>
    <w:rsid w:val="00ED6DB9"/>
    <w:rsid w:val="00EE2447"/>
    <w:rsid w:val="00EF4574"/>
    <w:rsid w:val="00EF5211"/>
    <w:rsid w:val="00F005BE"/>
    <w:rsid w:val="00F02B19"/>
    <w:rsid w:val="00F1097B"/>
    <w:rsid w:val="00F10BF1"/>
    <w:rsid w:val="00F16E31"/>
    <w:rsid w:val="00F1782C"/>
    <w:rsid w:val="00F208A7"/>
    <w:rsid w:val="00F20A6D"/>
    <w:rsid w:val="00F24230"/>
    <w:rsid w:val="00F32FB0"/>
    <w:rsid w:val="00F345CC"/>
    <w:rsid w:val="00F37FDB"/>
    <w:rsid w:val="00F41A01"/>
    <w:rsid w:val="00F41B20"/>
    <w:rsid w:val="00F45F39"/>
    <w:rsid w:val="00F55543"/>
    <w:rsid w:val="00F61F45"/>
    <w:rsid w:val="00F6369C"/>
    <w:rsid w:val="00F6370B"/>
    <w:rsid w:val="00F644DE"/>
    <w:rsid w:val="00F7250F"/>
    <w:rsid w:val="00F72849"/>
    <w:rsid w:val="00F750AA"/>
    <w:rsid w:val="00F80C9E"/>
    <w:rsid w:val="00F8168E"/>
    <w:rsid w:val="00F8204E"/>
    <w:rsid w:val="00F84CDE"/>
    <w:rsid w:val="00F90DDF"/>
    <w:rsid w:val="00F92CDB"/>
    <w:rsid w:val="00F931B4"/>
    <w:rsid w:val="00F93CEE"/>
    <w:rsid w:val="00F96C04"/>
    <w:rsid w:val="00F96C11"/>
    <w:rsid w:val="00F97ADC"/>
    <w:rsid w:val="00F97EDB"/>
    <w:rsid w:val="00FA2DBE"/>
    <w:rsid w:val="00FA39BA"/>
    <w:rsid w:val="00FA401F"/>
    <w:rsid w:val="00FA7990"/>
    <w:rsid w:val="00FB0B25"/>
    <w:rsid w:val="00FB42BD"/>
    <w:rsid w:val="00FB435A"/>
    <w:rsid w:val="00FB5973"/>
    <w:rsid w:val="00FC1002"/>
    <w:rsid w:val="00FC2471"/>
    <w:rsid w:val="00FC3E7E"/>
    <w:rsid w:val="00FC3EB5"/>
    <w:rsid w:val="00FC5ACB"/>
    <w:rsid w:val="00FC6111"/>
    <w:rsid w:val="00FC7273"/>
    <w:rsid w:val="00FD0AFE"/>
    <w:rsid w:val="00FD2789"/>
    <w:rsid w:val="00FD5756"/>
    <w:rsid w:val="00FE0A96"/>
    <w:rsid w:val="00FE0CF5"/>
    <w:rsid w:val="00FE136D"/>
    <w:rsid w:val="00FE2A84"/>
    <w:rsid w:val="00FE5291"/>
    <w:rsid w:val="00FE5590"/>
    <w:rsid w:val="00FE6926"/>
    <w:rsid w:val="00FF331B"/>
    <w:rsid w:val="00FF4B03"/>
    <w:rsid w:val="00FF5E26"/>
    <w:rsid w:val="00FF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A6657DB"/>
  <w15:chartTrackingRefBased/>
  <w15:docId w15:val="{73C2C27A-2E7F-43A9-863C-7E4D1DC7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255B1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F10BF1"/>
    <w:pPr>
      <w:widowControl w:val="0"/>
      <w:autoSpaceDE w:val="0"/>
      <w:autoSpaceDN w:val="0"/>
      <w:ind w:left="621"/>
      <w:outlineLvl w:val="1"/>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5C8E"/>
    <w:pPr>
      <w:tabs>
        <w:tab w:val="center" w:pos="4320"/>
        <w:tab w:val="right" w:pos="8640"/>
      </w:tabs>
    </w:pPr>
    <w:rPr>
      <w:rFonts w:ascii="Times New Roman" w:hAnsi="Times New Roman"/>
    </w:rPr>
  </w:style>
  <w:style w:type="paragraph" w:styleId="Footer">
    <w:name w:val="footer"/>
    <w:basedOn w:val="Normal"/>
    <w:link w:val="FooterChar"/>
    <w:uiPriority w:val="99"/>
    <w:rsid w:val="0022007F"/>
    <w:pPr>
      <w:tabs>
        <w:tab w:val="center" w:pos="4320"/>
        <w:tab w:val="right" w:pos="8640"/>
      </w:tabs>
    </w:pPr>
  </w:style>
  <w:style w:type="paragraph" w:styleId="Title">
    <w:name w:val="Title"/>
    <w:basedOn w:val="Normal"/>
    <w:link w:val="TitleChar"/>
    <w:qFormat/>
    <w:rsid w:val="00516167"/>
    <w:pPr>
      <w:jc w:val="center"/>
    </w:pPr>
    <w:rPr>
      <w:rFonts w:ascii="Comic Sans MS" w:hAnsi="Comic Sans MS"/>
      <w:b/>
      <w:szCs w:val="20"/>
    </w:rPr>
  </w:style>
  <w:style w:type="character" w:customStyle="1" w:styleId="TitleChar">
    <w:name w:val="Title Char"/>
    <w:link w:val="Title"/>
    <w:rsid w:val="00516167"/>
    <w:rPr>
      <w:rFonts w:ascii="Comic Sans MS" w:hAnsi="Comic Sans MS"/>
      <w:b/>
      <w:sz w:val="24"/>
    </w:rPr>
  </w:style>
  <w:style w:type="character" w:styleId="Hyperlink">
    <w:name w:val="Hyperlink"/>
    <w:rsid w:val="00516167"/>
    <w:rPr>
      <w:color w:val="0000FF"/>
      <w:u w:val="single"/>
    </w:rPr>
  </w:style>
  <w:style w:type="paragraph" w:styleId="ListParagraph">
    <w:name w:val="List Paragraph"/>
    <w:basedOn w:val="Normal"/>
    <w:uiPriority w:val="34"/>
    <w:qFormat/>
    <w:rsid w:val="00E06C26"/>
    <w:pPr>
      <w:ind w:left="720"/>
    </w:pPr>
    <w:rPr>
      <w:rFonts w:ascii="Comic Sans MS" w:hAnsi="Comic Sans MS"/>
      <w:szCs w:val="20"/>
    </w:rPr>
  </w:style>
  <w:style w:type="paragraph" w:styleId="BalloonText">
    <w:name w:val="Balloon Text"/>
    <w:basedOn w:val="Normal"/>
    <w:link w:val="BalloonTextChar"/>
    <w:rsid w:val="00633F3A"/>
    <w:rPr>
      <w:rFonts w:ascii="Tahoma" w:hAnsi="Tahoma" w:cs="Tahoma"/>
      <w:sz w:val="16"/>
      <w:szCs w:val="16"/>
    </w:rPr>
  </w:style>
  <w:style w:type="character" w:customStyle="1" w:styleId="BalloonTextChar">
    <w:name w:val="Balloon Text Char"/>
    <w:link w:val="BalloonText"/>
    <w:rsid w:val="00633F3A"/>
    <w:rPr>
      <w:rFonts w:ascii="Tahoma" w:hAnsi="Tahoma" w:cs="Tahoma"/>
      <w:sz w:val="16"/>
      <w:szCs w:val="16"/>
    </w:rPr>
  </w:style>
  <w:style w:type="paragraph" w:styleId="CommentText">
    <w:name w:val="annotation text"/>
    <w:basedOn w:val="Normal"/>
    <w:link w:val="CommentTextChar"/>
    <w:rsid w:val="00C76CDD"/>
    <w:rPr>
      <w:rFonts w:cs="Arial"/>
      <w:sz w:val="20"/>
      <w:szCs w:val="20"/>
    </w:rPr>
  </w:style>
  <w:style w:type="character" w:customStyle="1" w:styleId="CommentTextChar">
    <w:name w:val="Comment Text Char"/>
    <w:link w:val="CommentText"/>
    <w:rsid w:val="00C76CDD"/>
    <w:rPr>
      <w:rFonts w:ascii="Arial" w:hAnsi="Arial" w:cs="Arial"/>
    </w:rPr>
  </w:style>
  <w:style w:type="paragraph" w:styleId="BodyText3">
    <w:name w:val="Body Text 3"/>
    <w:basedOn w:val="Normal"/>
    <w:link w:val="BodyText3Char"/>
    <w:rsid w:val="00C76CDD"/>
    <w:pPr>
      <w:jc w:val="both"/>
    </w:pPr>
    <w:rPr>
      <w:rFonts w:ascii="Helvetica" w:hAnsi="Helvetica"/>
      <w:szCs w:val="20"/>
    </w:rPr>
  </w:style>
  <w:style w:type="character" w:customStyle="1" w:styleId="BodyText3Char">
    <w:name w:val="Body Text 3 Char"/>
    <w:link w:val="BodyText3"/>
    <w:rsid w:val="00C76CDD"/>
    <w:rPr>
      <w:rFonts w:ascii="Helvetica" w:hAnsi="Helvetica"/>
      <w:sz w:val="24"/>
    </w:rPr>
  </w:style>
  <w:style w:type="table" w:styleId="TableGrid">
    <w:name w:val="Table Grid"/>
    <w:basedOn w:val="TableNormal"/>
    <w:rsid w:val="00C76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rsid w:val="009D7453"/>
    <w:rPr>
      <w:rFonts w:ascii="Helvetica" w:eastAsia="Helvetica" w:hAnsi="Helvetica"/>
      <w:noProof w:val="0"/>
      <w:sz w:val="24"/>
      <w:lang w:val="en-US"/>
    </w:rPr>
  </w:style>
  <w:style w:type="paragraph" w:customStyle="1" w:styleId="ICCSECTIONl4L7">
    <w:name w:val="ICCSECTION_l4_L7"/>
    <w:rsid w:val="00080A3E"/>
    <w:pPr>
      <w:widowControl w:val="0"/>
      <w:autoSpaceDE w:val="0"/>
      <w:autoSpaceDN w:val="0"/>
      <w:adjustRightInd w:val="0"/>
      <w:ind w:left="720"/>
    </w:pPr>
    <w:rPr>
      <w:rFonts w:ascii="Arial" w:eastAsia="SimSun" w:hAnsi="Arial" w:cs="Arial"/>
    </w:rPr>
  </w:style>
  <w:style w:type="paragraph" w:styleId="Revision">
    <w:name w:val="Revision"/>
    <w:hidden/>
    <w:uiPriority w:val="99"/>
    <w:semiHidden/>
    <w:rsid w:val="00B157CE"/>
    <w:rPr>
      <w:rFonts w:ascii="Arial" w:hAnsi="Arial"/>
      <w:sz w:val="24"/>
      <w:szCs w:val="24"/>
    </w:rPr>
  </w:style>
  <w:style w:type="character" w:customStyle="1" w:styleId="Heading2Char">
    <w:name w:val="Heading 2 Char"/>
    <w:link w:val="Heading2"/>
    <w:uiPriority w:val="1"/>
    <w:rsid w:val="00F10BF1"/>
    <w:rPr>
      <w:b/>
      <w:bCs/>
    </w:rPr>
  </w:style>
  <w:style w:type="paragraph" w:styleId="BodyText">
    <w:name w:val="Body Text"/>
    <w:basedOn w:val="Normal"/>
    <w:link w:val="BodyTextChar"/>
    <w:rsid w:val="004A267A"/>
    <w:pPr>
      <w:spacing w:after="120"/>
    </w:pPr>
  </w:style>
  <w:style w:type="character" w:customStyle="1" w:styleId="BodyTextChar">
    <w:name w:val="Body Text Char"/>
    <w:link w:val="BodyText"/>
    <w:rsid w:val="004A267A"/>
    <w:rPr>
      <w:rFonts w:ascii="Arial" w:hAnsi="Arial"/>
      <w:sz w:val="24"/>
      <w:szCs w:val="24"/>
    </w:rPr>
  </w:style>
  <w:style w:type="character" w:customStyle="1" w:styleId="FooterChar">
    <w:name w:val="Footer Char"/>
    <w:basedOn w:val="DefaultParagraphFont"/>
    <w:link w:val="Footer"/>
    <w:uiPriority w:val="99"/>
    <w:rsid w:val="003B39C7"/>
    <w:rPr>
      <w:rFonts w:ascii="Arial" w:hAnsi="Arial"/>
      <w:sz w:val="24"/>
      <w:szCs w:val="24"/>
    </w:rPr>
  </w:style>
  <w:style w:type="table" w:customStyle="1" w:styleId="TableGrid1">
    <w:name w:val="Table Grid1"/>
    <w:basedOn w:val="TableNormal"/>
    <w:next w:val="TableGrid"/>
    <w:uiPriority w:val="59"/>
    <w:rsid w:val="0046187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461876"/>
  </w:style>
  <w:style w:type="character" w:customStyle="1" w:styleId="normaltextrun">
    <w:name w:val="normaltextrun"/>
    <w:basedOn w:val="DefaultParagraphFont"/>
    <w:rsid w:val="00FD2789"/>
  </w:style>
  <w:style w:type="character" w:customStyle="1" w:styleId="eop">
    <w:name w:val="eop"/>
    <w:basedOn w:val="DefaultParagraphFont"/>
    <w:rsid w:val="00FD2789"/>
  </w:style>
  <w:style w:type="character" w:customStyle="1" w:styleId="Heading1Char">
    <w:name w:val="Heading 1 Char"/>
    <w:basedOn w:val="DefaultParagraphFont"/>
    <w:link w:val="Heading1"/>
    <w:rsid w:val="00255B1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38226">
      <w:bodyDiv w:val="1"/>
      <w:marLeft w:val="0"/>
      <w:marRight w:val="0"/>
      <w:marTop w:val="0"/>
      <w:marBottom w:val="0"/>
      <w:divBdr>
        <w:top w:val="none" w:sz="0" w:space="0" w:color="auto"/>
        <w:left w:val="none" w:sz="0" w:space="0" w:color="auto"/>
        <w:bottom w:val="none" w:sz="0" w:space="0" w:color="auto"/>
        <w:right w:val="none" w:sz="0" w:space="0" w:color="auto"/>
      </w:divBdr>
    </w:div>
    <w:div w:id="1152134247">
      <w:bodyDiv w:val="1"/>
      <w:marLeft w:val="0"/>
      <w:marRight w:val="0"/>
      <w:marTop w:val="0"/>
      <w:marBottom w:val="0"/>
      <w:divBdr>
        <w:top w:val="none" w:sz="0" w:space="0" w:color="auto"/>
        <w:left w:val="none" w:sz="0" w:space="0" w:color="auto"/>
        <w:bottom w:val="none" w:sz="0" w:space="0" w:color="auto"/>
        <w:right w:val="none" w:sz="0" w:space="0" w:color="auto"/>
      </w:divBdr>
    </w:div>
    <w:div w:id="1245265315">
      <w:bodyDiv w:val="1"/>
      <w:marLeft w:val="0"/>
      <w:marRight w:val="0"/>
      <w:marTop w:val="0"/>
      <w:marBottom w:val="0"/>
      <w:divBdr>
        <w:top w:val="none" w:sz="0" w:space="0" w:color="auto"/>
        <w:left w:val="none" w:sz="0" w:space="0" w:color="auto"/>
        <w:bottom w:val="none" w:sz="0" w:space="0" w:color="auto"/>
        <w:right w:val="none" w:sz="0" w:space="0" w:color="auto"/>
      </w:divBdr>
    </w:div>
    <w:div w:id="1248222563">
      <w:bodyDiv w:val="1"/>
      <w:marLeft w:val="0"/>
      <w:marRight w:val="0"/>
      <w:marTop w:val="0"/>
      <w:marBottom w:val="0"/>
      <w:divBdr>
        <w:top w:val="none" w:sz="0" w:space="0" w:color="auto"/>
        <w:left w:val="none" w:sz="0" w:space="0" w:color="auto"/>
        <w:bottom w:val="none" w:sz="0" w:space="0" w:color="auto"/>
        <w:right w:val="none" w:sz="0" w:space="0" w:color="auto"/>
      </w:divBdr>
    </w:div>
    <w:div w:id="1249926187">
      <w:bodyDiv w:val="1"/>
      <w:marLeft w:val="0"/>
      <w:marRight w:val="0"/>
      <w:marTop w:val="0"/>
      <w:marBottom w:val="0"/>
      <w:divBdr>
        <w:top w:val="none" w:sz="0" w:space="0" w:color="auto"/>
        <w:left w:val="none" w:sz="0" w:space="0" w:color="auto"/>
        <w:bottom w:val="none" w:sz="0" w:space="0" w:color="auto"/>
        <w:right w:val="none" w:sz="0" w:space="0" w:color="auto"/>
      </w:divBdr>
      <w:divsChild>
        <w:div w:id="133841730">
          <w:marLeft w:val="0"/>
          <w:marRight w:val="0"/>
          <w:marTop w:val="0"/>
          <w:marBottom w:val="0"/>
          <w:divBdr>
            <w:top w:val="none" w:sz="0" w:space="0" w:color="auto"/>
            <w:left w:val="none" w:sz="0" w:space="0" w:color="auto"/>
            <w:bottom w:val="none" w:sz="0" w:space="0" w:color="auto"/>
            <w:right w:val="none" w:sz="0" w:space="0" w:color="auto"/>
          </w:divBdr>
        </w:div>
        <w:div w:id="148642910">
          <w:marLeft w:val="0"/>
          <w:marRight w:val="0"/>
          <w:marTop w:val="0"/>
          <w:marBottom w:val="0"/>
          <w:divBdr>
            <w:top w:val="none" w:sz="0" w:space="0" w:color="auto"/>
            <w:left w:val="none" w:sz="0" w:space="0" w:color="auto"/>
            <w:bottom w:val="none" w:sz="0" w:space="0" w:color="auto"/>
            <w:right w:val="none" w:sz="0" w:space="0" w:color="auto"/>
          </w:divBdr>
        </w:div>
        <w:div w:id="202983151">
          <w:marLeft w:val="0"/>
          <w:marRight w:val="0"/>
          <w:marTop w:val="0"/>
          <w:marBottom w:val="0"/>
          <w:divBdr>
            <w:top w:val="none" w:sz="0" w:space="0" w:color="auto"/>
            <w:left w:val="none" w:sz="0" w:space="0" w:color="auto"/>
            <w:bottom w:val="none" w:sz="0" w:space="0" w:color="auto"/>
            <w:right w:val="none" w:sz="0" w:space="0" w:color="auto"/>
          </w:divBdr>
        </w:div>
        <w:div w:id="203518954">
          <w:marLeft w:val="0"/>
          <w:marRight w:val="0"/>
          <w:marTop w:val="0"/>
          <w:marBottom w:val="0"/>
          <w:divBdr>
            <w:top w:val="none" w:sz="0" w:space="0" w:color="auto"/>
            <w:left w:val="none" w:sz="0" w:space="0" w:color="auto"/>
            <w:bottom w:val="none" w:sz="0" w:space="0" w:color="auto"/>
            <w:right w:val="none" w:sz="0" w:space="0" w:color="auto"/>
          </w:divBdr>
        </w:div>
        <w:div w:id="218397221">
          <w:marLeft w:val="0"/>
          <w:marRight w:val="0"/>
          <w:marTop w:val="0"/>
          <w:marBottom w:val="0"/>
          <w:divBdr>
            <w:top w:val="none" w:sz="0" w:space="0" w:color="auto"/>
            <w:left w:val="none" w:sz="0" w:space="0" w:color="auto"/>
            <w:bottom w:val="none" w:sz="0" w:space="0" w:color="auto"/>
            <w:right w:val="none" w:sz="0" w:space="0" w:color="auto"/>
          </w:divBdr>
        </w:div>
        <w:div w:id="340203472">
          <w:marLeft w:val="0"/>
          <w:marRight w:val="0"/>
          <w:marTop w:val="0"/>
          <w:marBottom w:val="0"/>
          <w:divBdr>
            <w:top w:val="none" w:sz="0" w:space="0" w:color="auto"/>
            <w:left w:val="none" w:sz="0" w:space="0" w:color="auto"/>
            <w:bottom w:val="none" w:sz="0" w:space="0" w:color="auto"/>
            <w:right w:val="none" w:sz="0" w:space="0" w:color="auto"/>
          </w:divBdr>
        </w:div>
        <w:div w:id="419253816">
          <w:marLeft w:val="0"/>
          <w:marRight w:val="0"/>
          <w:marTop w:val="0"/>
          <w:marBottom w:val="0"/>
          <w:divBdr>
            <w:top w:val="none" w:sz="0" w:space="0" w:color="auto"/>
            <w:left w:val="none" w:sz="0" w:space="0" w:color="auto"/>
            <w:bottom w:val="none" w:sz="0" w:space="0" w:color="auto"/>
            <w:right w:val="none" w:sz="0" w:space="0" w:color="auto"/>
          </w:divBdr>
        </w:div>
        <w:div w:id="560210371">
          <w:marLeft w:val="0"/>
          <w:marRight w:val="0"/>
          <w:marTop w:val="0"/>
          <w:marBottom w:val="0"/>
          <w:divBdr>
            <w:top w:val="none" w:sz="0" w:space="0" w:color="auto"/>
            <w:left w:val="none" w:sz="0" w:space="0" w:color="auto"/>
            <w:bottom w:val="none" w:sz="0" w:space="0" w:color="auto"/>
            <w:right w:val="none" w:sz="0" w:space="0" w:color="auto"/>
          </w:divBdr>
        </w:div>
        <w:div w:id="666910196">
          <w:marLeft w:val="0"/>
          <w:marRight w:val="0"/>
          <w:marTop w:val="0"/>
          <w:marBottom w:val="0"/>
          <w:divBdr>
            <w:top w:val="none" w:sz="0" w:space="0" w:color="auto"/>
            <w:left w:val="none" w:sz="0" w:space="0" w:color="auto"/>
            <w:bottom w:val="none" w:sz="0" w:space="0" w:color="auto"/>
            <w:right w:val="none" w:sz="0" w:space="0" w:color="auto"/>
          </w:divBdr>
        </w:div>
        <w:div w:id="688024432">
          <w:marLeft w:val="0"/>
          <w:marRight w:val="0"/>
          <w:marTop w:val="0"/>
          <w:marBottom w:val="0"/>
          <w:divBdr>
            <w:top w:val="none" w:sz="0" w:space="0" w:color="auto"/>
            <w:left w:val="none" w:sz="0" w:space="0" w:color="auto"/>
            <w:bottom w:val="none" w:sz="0" w:space="0" w:color="auto"/>
            <w:right w:val="none" w:sz="0" w:space="0" w:color="auto"/>
          </w:divBdr>
        </w:div>
        <w:div w:id="761336188">
          <w:marLeft w:val="0"/>
          <w:marRight w:val="0"/>
          <w:marTop w:val="0"/>
          <w:marBottom w:val="0"/>
          <w:divBdr>
            <w:top w:val="none" w:sz="0" w:space="0" w:color="auto"/>
            <w:left w:val="none" w:sz="0" w:space="0" w:color="auto"/>
            <w:bottom w:val="none" w:sz="0" w:space="0" w:color="auto"/>
            <w:right w:val="none" w:sz="0" w:space="0" w:color="auto"/>
          </w:divBdr>
        </w:div>
        <w:div w:id="836960915">
          <w:marLeft w:val="0"/>
          <w:marRight w:val="0"/>
          <w:marTop w:val="0"/>
          <w:marBottom w:val="0"/>
          <w:divBdr>
            <w:top w:val="none" w:sz="0" w:space="0" w:color="auto"/>
            <w:left w:val="none" w:sz="0" w:space="0" w:color="auto"/>
            <w:bottom w:val="none" w:sz="0" w:space="0" w:color="auto"/>
            <w:right w:val="none" w:sz="0" w:space="0" w:color="auto"/>
          </w:divBdr>
        </w:div>
        <w:div w:id="1085882640">
          <w:marLeft w:val="0"/>
          <w:marRight w:val="0"/>
          <w:marTop w:val="0"/>
          <w:marBottom w:val="0"/>
          <w:divBdr>
            <w:top w:val="none" w:sz="0" w:space="0" w:color="auto"/>
            <w:left w:val="none" w:sz="0" w:space="0" w:color="auto"/>
            <w:bottom w:val="none" w:sz="0" w:space="0" w:color="auto"/>
            <w:right w:val="none" w:sz="0" w:space="0" w:color="auto"/>
          </w:divBdr>
        </w:div>
        <w:div w:id="1138836501">
          <w:marLeft w:val="0"/>
          <w:marRight w:val="0"/>
          <w:marTop w:val="0"/>
          <w:marBottom w:val="0"/>
          <w:divBdr>
            <w:top w:val="none" w:sz="0" w:space="0" w:color="auto"/>
            <w:left w:val="none" w:sz="0" w:space="0" w:color="auto"/>
            <w:bottom w:val="none" w:sz="0" w:space="0" w:color="auto"/>
            <w:right w:val="none" w:sz="0" w:space="0" w:color="auto"/>
          </w:divBdr>
        </w:div>
        <w:div w:id="1252855948">
          <w:marLeft w:val="0"/>
          <w:marRight w:val="0"/>
          <w:marTop w:val="0"/>
          <w:marBottom w:val="0"/>
          <w:divBdr>
            <w:top w:val="none" w:sz="0" w:space="0" w:color="auto"/>
            <w:left w:val="none" w:sz="0" w:space="0" w:color="auto"/>
            <w:bottom w:val="none" w:sz="0" w:space="0" w:color="auto"/>
            <w:right w:val="none" w:sz="0" w:space="0" w:color="auto"/>
          </w:divBdr>
        </w:div>
        <w:div w:id="1268468123">
          <w:marLeft w:val="0"/>
          <w:marRight w:val="0"/>
          <w:marTop w:val="0"/>
          <w:marBottom w:val="0"/>
          <w:divBdr>
            <w:top w:val="none" w:sz="0" w:space="0" w:color="auto"/>
            <w:left w:val="none" w:sz="0" w:space="0" w:color="auto"/>
            <w:bottom w:val="none" w:sz="0" w:space="0" w:color="auto"/>
            <w:right w:val="none" w:sz="0" w:space="0" w:color="auto"/>
          </w:divBdr>
        </w:div>
        <w:div w:id="1313605985">
          <w:marLeft w:val="0"/>
          <w:marRight w:val="0"/>
          <w:marTop w:val="0"/>
          <w:marBottom w:val="0"/>
          <w:divBdr>
            <w:top w:val="none" w:sz="0" w:space="0" w:color="auto"/>
            <w:left w:val="none" w:sz="0" w:space="0" w:color="auto"/>
            <w:bottom w:val="none" w:sz="0" w:space="0" w:color="auto"/>
            <w:right w:val="none" w:sz="0" w:space="0" w:color="auto"/>
          </w:divBdr>
        </w:div>
        <w:div w:id="1326013662">
          <w:marLeft w:val="0"/>
          <w:marRight w:val="0"/>
          <w:marTop w:val="0"/>
          <w:marBottom w:val="0"/>
          <w:divBdr>
            <w:top w:val="none" w:sz="0" w:space="0" w:color="auto"/>
            <w:left w:val="none" w:sz="0" w:space="0" w:color="auto"/>
            <w:bottom w:val="none" w:sz="0" w:space="0" w:color="auto"/>
            <w:right w:val="none" w:sz="0" w:space="0" w:color="auto"/>
          </w:divBdr>
        </w:div>
        <w:div w:id="1344623127">
          <w:marLeft w:val="0"/>
          <w:marRight w:val="0"/>
          <w:marTop w:val="0"/>
          <w:marBottom w:val="0"/>
          <w:divBdr>
            <w:top w:val="none" w:sz="0" w:space="0" w:color="auto"/>
            <w:left w:val="none" w:sz="0" w:space="0" w:color="auto"/>
            <w:bottom w:val="none" w:sz="0" w:space="0" w:color="auto"/>
            <w:right w:val="none" w:sz="0" w:space="0" w:color="auto"/>
          </w:divBdr>
        </w:div>
        <w:div w:id="1351031807">
          <w:marLeft w:val="0"/>
          <w:marRight w:val="0"/>
          <w:marTop w:val="0"/>
          <w:marBottom w:val="0"/>
          <w:divBdr>
            <w:top w:val="none" w:sz="0" w:space="0" w:color="auto"/>
            <w:left w:val="none" w:sz="0" w:space="0" w:color="auto"/>
            <w:bottom w:val="none" w:sz="0" w:space="0" w:color="auto"/>
            <w:right w:val="none" w:sz="0" w:space="0" w:color="auto"/>
          </w:divBdr>
        </w:div>
        <w:div w:id="1367104036">
          <w:marLeft w:val="0"/>
          <w:marRight w:val="0"/>
          <w:marTop w:val="0"/>
          <w:marBottom w:val="0"/>
          <w:divBdr>
            <w:top w:val="none" w:sz="0" w:space="0" w:color="auto"/>
            <w:left w:val="none" w:sz="0" w:space="0" w:color="auto"/>
            <w:bottom w:val="none" w:sz="0" w:space="0" w:color="auto"/>
            <w:right w:val="none" w:sz="0" w:space="0" w:color="auto"/>
          </w:divBdr>
        </w:div>
        <w:div w:id="1380864318">
          <w:marLeft w:val="0"/>
          <w:marRight w:val="0"/>
          <w:marTop w:val="0"/>
          <w:marBottom w:val="0"/>
          <w:divBdr>
            <w:top w:val="none" w:sz="0" w:space="0" w:color="auto"/>
            <w:left w:val="none" w:sz="0" w:space="0" w:color="auto"/>
            <w:bottom w:val="none" w:sz="0" w:space="0" w:color="auto"/>
            <w:right w:val="none" w:sz="0" w:space="0" w:color="auto"/>
          </w:divBdr>
        </w:div>
        <w:div w:id="1430269393">
          <w:marLeft w:val="0"/>
          <w:marRight w:val="0"/>
          <w:marTop w:val="0"/>
          <w:marBottom w:val="0"/>
          <w:divBdr>
            <w:top w:val="none" w:sz="0" w:space="0" w:color="auto"/>
            <w:left w:val="none" w:sz="0" w:space="0" w:color="auto"/>
            <w:bottom w:val="none" w:sz="0" w:space="0" w:color="auto"/>
            <w:right w:val="none" w:sz="0" w:space="0" w:color="auto"/>
          </w:divBdr>
        </w:div>
        <w:div w:id="1498612629">
          <w:marLeft w:val="0"/>
          <w:marRight w:val="0"/>
          <w:marTop w:val="0"/>
          <w:marBottom w:val="0"/>
          <w:divBdr>
            <w:top w:val="none" w:sz="0" w:space="0" w:color="auto"/>
            <w:left w:val="none" w:sz="0" w:space="0" w:color="auto"/>
            <w:bottom w:val="none" w:sz="0" w:space="0" w:color="auto"/>
            <w:right w:val="none" w:sz="0" w:space="0" w:color="auto"/>
          </w:divBdr>
        </w:div>
        <w:div w:id="1502156077">
          <w:marLeft w:val="0"/>
          <w:marRight w:val="0"/>
          <w:marTop w:val="0"/>
          <w:marBottom w:val="0"/>
          <w:divBdr>
            <w:top w:val="none" w:sz="0" w:space="0" w:color="auto"/>
            <w:left w:val="none" w:sz="0" w:space="0" w:color="auto"/>
            <w:bottom w:val="none" w:sz="0" w:space="0" w:color="auto"/>
            <w:right w:val="none" w:sz="0" w:space="0" w:color="auto"/>
          </w:divBdr>
        </w:div>
        <w:div w:id="1526361056">
          <w:marLeft w:val="0"/>
          <w:marRight w:val="0"/>
          <w:marTop w:val="0"/>
          <w:marBottom w:val="0"/>
          <w:divBdr>
            <w:top w:val="none" w:sz="0" w:space="0" w:color="auto"/>
            <w:left w:val="none" w:sz="0" w:space="0" w:color="auto"/>
            <w:bottom w:val="none" w:sz="0" w:space="0" w:color="auto"/>
            <w:right w:val="none" w:sz="0" w:space="0" w:color="auto"/>
          </w:divBdr>
        </w:div>
        <w:div w:id="1546019938">
          <w:marLeft w:val="0"/>
          <w:marRight w:val="0"/>
          <w:marTop w:val="0"/>
          <w:marBottom w:val="0"/>
          <w:divBdr>
            <w:top w:val="none" w:sz="0" w:space="0" w:color="auto"/>
            <w:left w:val="none" w:sz="0" w:space="0" w:color="auto"/>
            <w:bottom w:val="none" w:sz="0" w:space="0" w:color="auto"/>
            <w:right w:val="none" w:sz="0" w:space="0" w:color="auto"/>
          </w:divBdr>
        </w:div>
        <w:div w:id="1549611463">
          <w:marLeft w:val="0"/>
          <w:marRight w:val="0"/>
          <w:marTop w:val="0"/>
          <w:marBottom w:val="0"/>
          <w:divBdr>
            <w:top w:val="none" w:sz="0" w:space="0" w:color="auto"/>
            <w:left w:val="none" w:sz="0" w:space="0" w:color="auto"/>
            <w:bottom w:val="none" w:sz="0" w:space="0" w:color="auto"/>
            <w:right w:val="none" w:sz="0" w:space="0" w:color="auto"/>
          </w:divBdr>
        </w:div>
        <w:div w:id="1603605090">
          <w:marLeft w:val="0"/>
          <w:marRight w:val="0"/>
          <w:marTop w:val="0"/>
          <w:marBottom w:val="0"/>
          <w:divBdr>
            <w:top w:val="none" w:sz="0" w:space="0" w:color="auto"/>
            <w:left w:val="none" w:sz="0" w:space="0" w:color="auto"/>
            <w:bottom w:val="none" w:sz="0" w:space="0" w:color="auto"/>
            <w:right w:val="none" w:sz="0" w:space="0" w:color="auto"/>
          </w:divBdr>
        </w:div>
        <w:div w:id="1640108054">
          <w:marLeft w:val="0"/>
          <w:marRight w:val="0"/>
          <w:marTop w:val="0"/>
          <w:marBottom w:val="0"/>
          <w:divBdr>
            <w:top w:val="none" w:sz="0" w:space="0" w:color="auto"/>
            <w:left w:val="none" w:sz="0" w:space="0" w:color="auto"/>
            <w:bottom w:val="none" w:sz="0" w:space="0" w:color="auto"/>
            <w:right w:val="none" w:sz="0" w:space="0" w:color="auto"/>
          </w:divBdr>
        </w:div>
        <w:div w:id="1677806378">
          <w:marLeft w:val="0"/>
          <w:marRight w:val="0"/>
          <w:marTop w:val="0"/>
          <w:marBottom w:val="0"/>
          <w:divBdr>
            <w:top w:val="none" w:sz="0" w:space="0" w:color="auto"/>
            <w:left w:val="none" w:sz="0" w:space="0" w:color="auto"/>
            <w:bottom w:val="none" w:sz="0" w:space="0" w:color="auto"/>
            <w:right w:val="none" w:sz="0" w:space="0" w:color="auto"/>
          </w:divBdr>
        </w:div>
        <w:div w:id="1916937286">
          <w:marLeft w:val="0"/>
          <w:marRight w:val="0"/>
          <w:marTop w:val="0"/>
          <w:marBottom w:val="0"/>
          <w:divBdr>
            <w:top w:val="none" w:sz="0" w:space="0" w:color="auto"/>
            <w:left w:val="none" w:sz="0" w:space="0" w:color="auto"/>
            <w:bottom w:val="none" w:sz="0" w:space="0" w:color="auto"/>
            <w:right w:val="none" w:sz="0" w:space="0" w:color="auto"/>
          </w:divBdr>
        </w:div>
        <w:div w:id="2042586997">
          <w:marLeft w:val="0"/>
          <w:marRight w:val="0"/>
          <w:marTop w:val="0"/>
          <w:marBottom w:val="0"/>
          <w:divBdr>
            <w:top w:val="none" w:sz="0" w:space="0" w:color="auto"/>
            <w:left w:val="none" w:sz="0" w:space="0" w:color="auto"/>
            <w:bottom w:val="none" w:sz="0" w:space="0" w:color="auto"/>
            <w:right w:val="none" w:sz="0" w:space="0" w:color="auto"/>
          </w:divBdr>
        </w:div>
      </w:divsChild>
    </w:div>
    <w:div w:id="1493452253">
      <w:bodyDiv w:val="1"/>
      <w:marLeft w:val="0"/>
      <w:marRight w:val="0"/>
      <w:marTop w:val="0"/>
      <w:marBottom w:val="0"/>
      <w:divBdr>
        <w:top w:val="none" w:sz="0" w:space="0" w:color="auto"/>
        <w:left w:val="none" w:sz="0" w:space="0" w:color="auto"/>
        <w:bottom w:val="none" w:sz="0" w:space="0" w:color="auto"/>
        <w:right w:val="none" w:sz="0" w:space="0" w:color="auto"/>
      </w:divBdr>
    </w:div>
    <w:div w:id="1594974109">
      <w:bodyDiv w:val="1"/>
      <w:marLeft w:val="0"/>
      <w:marRight w:val="0"/>
      <w:marTop w:val="0"/>
      <w:marBottom w:val="0"/>
      <w:divBdr>
        <w:top w:val="none" w:sz="0" w:space="0" w:color="auto"/>
        <w:left w:val="none" w:sz="0" w:space="0" w:color="auto"/>
        <w:bottom w:val="none" w:sz="0" w:space="0" w:color="auto"/>
        <w:right w:val="none" w:sz="0" w:space="0" w:color="auto"/>
      </w:divBdr>
    </w:div>
    <w:div w:id="213860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6FF06-0300-464C-B8A9-3802CAD0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3</Pages>
  <Words>1012</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STATE OF CALIFORNIA – STATE AND CONSUMER SERVICES AGENCY</vt:lpstr>
    </vt:vector>
  </TitlesOfParts>
  <Company>Telecommunications Division, DGS, State of CA</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 – STATE AND CONSUMER SERVICES AGENCY</dc:title>
  <dc:subject/>
  <dc:creator>Stephanie Davis</dc:creator>
  <cp:keywords/>
  <cp:lastModifiedBy>Rodriguez, Enrique (CBSC)@DGS</cp:lastModifiedBy>
  <cp:revision>186</cp:revision>
  <cp:lastPrinted>2019-07-31T23:51:00Z</cp:lastPrinted>
  <dcterms:created xsi:type="dcterms:W3CDTF">2019-07-26T18:49:00Z</dcterms:created>
  <dcterms:modified xsi:type="dcterms:W3CDTF">2020-11-21T00:10:00Z</dcterms:modified>
</cp:coreProperties>
</file>