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087F" w14:textId="77777777" w:rsidR="00115C8B" w:rsidRDefault="00115C8B" w:rsidP="00445C8E">
      <w:pPr>
        <w:rPr>
          <w:rFonts w:cs="Arial"/>
        </w:rPr>
      </w:pPr>
    </w:p>
    <w:p w14:paraId="7614D3B7" w14:textId="77777777" w:rsidR="00516167" w:rsidRPr="00FF7228" w:rsidRDefault="00516167" w:rsidP="00FF7228">
      <w:pPr>
        <w:pStyle w:val="Heading1"/>
        <w:spacing w:before="0"/>
        <w:jc w:val="center"/>
        <w:rPr>
          <w:rFonts w:ascii="Arial" w:hAnsi="Arial" w:cs="Arial"/>
          <w:b/>
          <w:bCs/>
          <w:color w:val="auto"/>
          <w:sz w:val="24"/>
          <w:szCs w:val="24"/>
        </w:rPr>
      </w:pPr>
      <w:r w:rsidRPr="00FF7228">
        <w:rPr>
          <w:rFonts w:ascii="Arial" w:hAnsi="Arial" w:cs="Arial"/>
          <w:b/>
          <w:bCs/>
          <w:color w:val="auto"/>
          <w:sz w:val="24"/>
          <w:szCs w:val="24"/>
        </w:rPr>
        <w:t>CALIFORNIA BUILDING STANDARDS COMMISSION</w:t>
      </w:r>
    </w:p>
    <w:p w14:paraId="180AFCAF" w14:textId="2D7BC9F0" w:rsidR="005E3A9B" w:rsidRPr="00FF7228" w:rsidRDefault="00416F95" w:rsidP="00FF7228">
      <w:pPr>
        <w:pStyle w:val="Heading1"/>
        <w:spacing w:before="0"/>
        <w:jc w:val="center"/>
        <w:rPr>
          <w:rFonts w:ascii="Arial" w:hAnsi="Arial" w:cs="Arial"/>
          <w:b/>
          <w:bCs/>
          <w:color w:val="auto"/>
          <w:sz w:val="24"/>
          <w:szCs w:val="24"/>
        </w:rPr>
      </w:pPr>
      <w:r w:rsidRPr="00FF7228">
        <w:rPr>
          <w:rFonts w:ascii="Arial" w:hAnsi="Arial" w:cs="Arial"/>
          <w:b/>
          <w:bCs/>
          <w:color w:val="auto"/>
          <w:sz w:val="24"/>
          <w:szCs w:val="24"/>
        </w:rPr>
        <w:t>DIVISION OF THE STATE ARCHITECT</w:t>
      </w:r>
    </w:p>
    <w:p w14:paraId="00FECFF6" w14:textId="77777777" w:rsidR="00783D3F" w:rsidRPr="00082479" w:rsidRDefault="00783D3F" w:rsidP="00416F95">
      <w:pPr>
        <w:pStyle w:val="Title"/>
        <w:rPr>
          <w:rFonts w:ascii="Arial" w:hAnsi="Arial" w:cs="Arial"/>
          <w:szCs w:val="24"/>
        </w:rPr>
      </w:pPr>
    </w:p>
    <w:p w14:paraId="788C79F2" w14:textId="7A1CC147" w:rsidR="005818FB" w:rsidRPr="00082479" w:rsidRDefault="00D81E84" w:rsidP="005818FB">
      <w:pPr>
        <w:pStyle w:val="Title"/>
        <w:rPr>
          <w:rFonts w:ascii="Arial" w:hAnsi="Arial" w:cs="Arial"/>
          <w:szCs w:val="24"/>
        </w:rPr>
      </w:pPr>
      <w:r>
        <w:rPr>
          <w:rFonts w:ascii="Arial" w:hAnsi="Arial" w:cs="Arial"/>
          <w:szCs w:val="24"/>
        </w:rPr>
        <w:t>December 9</w:t>
      </w:r>
      <w:r w:rsidR="00CE59BA">
        <w:rPr>
          <w:rFonts w:ascii="Arial" w:hAnsi="Arial" w:cs="Arial"/>
          <w:szCs w:val="24"/>
        </w:rPr>
        <w:t xml:space="preserve">, </w:t>
      </w:r>
      <w:r w:rsidR="00991927">
        <w:rPr>
          <w:rFonts w:ascii="Arial" w:hAnsi="Arial" w:cs="Arial"/>
          <w:szCs w:val="24"/>
        </w:rPr>
        <w:t>20</w:t>
      </w:r>
      <w:r>
        <w:rPr>
          <w:rFonts w:ascii="Arial" w:hAnsi="Arial" w:cs="Arial"/>
          <w:szCs w:val="24"/>
        </w:rPr>
        <w:t>20</w:t>
      </w:r>
    </w:p>
    <w:p w14:paraId="402F37D8" w14:textId="4D2838F0" w:rsidR="008C16D4" w:rsidRPr="00082479" w:rsidRDefault="009B5795" w:rsidP="008C16D4">
      <w:pPr>
        <w:pStyle w:val="Title"/>
        <w:rPr>
          <w:rFonts w:ascii="Arial" w:hAnsi="Arial" w:cs="Arial"/>
          <w:szCs w:val="24"/>
        </w:rPr>
      </w:pPr>
      <w:r>
        <w:rPr>
          <w:rFonts w:ascii="Arial" w:hAnsi="Arial" w:cs="Arial"/>
          <w:szCs w:val="24"/>
        </w:rPr>
        <w:t xml:space="preserve">2022 </w:t>
      </w:r>
      <w:r w:rsidR="00416F95">
        <w:rPr>
          <w:rFonts w:ascii="Arial" w:hAnsi="Arial" w:cs="Arial"/>
          <w:szCs w:val="24"/>
        </w:rPr>
        <w:t>CAL</w:t>
      </w:r>
      <w:r w:rsidR="008C16D4" w:rsidRPr="00082479">
        <w:rPr>
          <w:rFonts w:ascii="Arial" w:hAnsi="Arial" w:cs="Arial"/>
          <w:szCs w:val="24"/>
        </w:rPr>
        <w:t xml:space="preserve">GREEN </w:t>
      </w:r>
    </w:p>
    <w:p w14:paraId="6E7E27EB" w14:textId="77777777" w:rsidR="008C16D4" w:rsidRPr="00082479" w:rsidRDefault="008C16D4" w:rsidP="008C16D4">
      <w:pPr>
        <w:pStyle w:val="Title"/>
        <w:rPr>
          <w:rFonts w:ascii="Arial" w:hAnsi="Arial" w:cs="Arial"/>
          <w:szCs w:val="24"/>
        </w:rPr>
      </w:pPr>
      <w:r w:rsidRPr="00082479">
        <w:rPr>
          <w:rFonts w:ascii="Arial" w:hAnsi="Arial" w:cs="Arial"/>
          <w:szCs w:val="24"/>
        </w:rPr>
        <w:t>WORKSHOP</w:t>
      </w:r>
    </w:p>
    <w:p w14:paraId="78CE4307" w14:textId="6DAAA779" w:rsidR="00E92C94" w:rsidRPr="00082479" w:rsidRDefault="00E92C94" w:rsidP="00E92C94">
      <w:pPr>
        <w:pStyle w:val="Title"/>
        <w:rPr>
          <w:rFonts w:ascii="Arial" w:hAnsi="Arial" w:cs="Arial"/>
          <w:szCs w:val="24"/>
        </w:rPr>
      </w:pPr>
      <w:r w:rsidRPr="00082479">
        <w:rPr>
          <w:rFonts w:ascii="Arial" w:hAnsi="Arial" w:cs="Arial"/>
          <w:szCs w:val="24"/>
        </w:rPr>
        <w:t xml:space="preserve">Agenda Item </w:t>
      </w:r>
      <w:r w:rsidR="005C5E7C">
        <w:rPr>
          <w:rFonts w:ascii="Arial" w:hAnsi="Arial" w:cs="Arial"/>
          <w:szCs w:val="24"/>
        </w:rPr>
        <w:t>3</w:t>
      </w:r>
      <w:r w:rsidR="00914003">
        <w:rPr>
          <w:rFonts w:ascii="Arial" w:hAnsi="Arial" w:cs="Arial"/>
          <w:szCs w:val="24"/>
        </w:rPr>
        <w:t xml:space="preserve">A &amp; </w:t>
      </w:r>
      <w:r w:rsidR="005C5E7C">
        <w:rPr>
          <w:rFonts w:ascii="Arial" w:hAnsi="Arial" w:cs="Arial"/>
          <w:szCs w:val="24"/>
        </w:rPr>
        <w:t>3</w:t>
      </w:r>
      <w:r w:rsidR="00914003">
        <w:rPr>
          <w:rFonts w:ascii="Arial" w:hAnsi="Arial" w:cs="Arial"/>
          <w:szCs w:val="24"/>
        </w:rPr>
        <w:t>B</w:t>
      </w:r>
    </w:p>
    <w:p w14:paraId="1BEE49AC" w14:textId="77777777" w:rsidR="008C16D4" w:rsidRPr="00082479" w:rsidRDefault="008C16D4" w:rsidP="002551B5">
      <w:pPr>
        <w:pStyle w:val="Title"/>
        <w:rPr>
          <w:rFonts w:ascii="Arial" w:hAnsi="Arial" w:cs="Arial"/>
          <w:szCs w:val="24"/>
        </w:rPr>
      </w:pPr>
    </w:p>
    <w:p w14:paraId="1F8D1524" w14:textId="77777777" w:rsidR="005E3A9B" w:rsidRPr="00082479" w:rsidRDefault="005E3A9B" w:rsidP="005E3A9B">
      <w:pPr>
        <w:tabs>
          <w:tab w:val="center" w:pos="4680"/>
        </w:tabs>
        <w:jc w:val="center"/>
        <w:rPr>
          <w:rFonts w:cs="Arial"/>
          <w:b/>
          <w:bCs/>
          <w:snapToGrid w:val="0"/>
        </w:rPr>
      </w:pPr>
      <w:r w:rsidRPr="00082479">
        <w:rPr>
          <w:rFonts w:cs="Arial"/>
          <w:b/>
          <w:bCs/>
          <w:snapToGrid w:val="0"/>
        </w:rPr>
        <w:t>DRAFT EXPRESS TERMS</w:t>
      </w:r>
    </w:p>
    <w:p w14:paraId="0270CEC3" w14:textId="77777777" w:rsidR="007938B6" w:rsidRPr="00082479" w:rsidRDefault="005E3A9B" w:rsidP="005E3A9B">
      <w:pPr>
        <w:tabs>
          <w:tab w:val="center" w:pos="4680"/>
        </w:tabs>
        <w:jc w:val="center"/>
        <w:rPr>
          <w:rFonts w:cs="Arial"/>
          <w:b/>
          <w:bCs/>
          <w:snapToGrid w:val="0"/>
        </w:rPr>
      </w:pPr>
      <w:r w:rsidRPr="00082479">
        <w:rPr>
          <w:rFonts w:cs="Arial"/>
          <w:b/>
          <w:bCs/>
          <w:snapToGrid w:val="0"/>
        </w:rPr>
        <w:t xml:space="preserve">CALIFORNIA </w:t>
      </w:r>
      <w:r w:rsidR="007E0FD0" w:rsidRPr="00082479">
        <w:rPr>
          <w:rFonts w:cs="Arial"/>
          <w:b/>
          <w:bCs/>
          <w:snapToGrid w:val="0"/>
        </w:rPr>
        <w:t xml:space="preserve">GREEN </w:t>
      </w:r>
      <w:r w:rsidRPr="00082479">
        <w:rPr>
          <w:rFonts w:cs="Arial"/>
          <w:b/>
          <w:bCs/>
          <w:snapToGrid w:val="0"/>
        </w:rPr>
        <w:t xml:space="preserve">BUILDING </w:t>
      </w:r>
      <w:r w:rsidR="007E0FD0" w:rsidRPr="00082479">
        <w:rPr>
          <w:rFonts w:cs="Arial"/>
          <w:b/>
          <w:bCs/>
          <w:snapToGrid w:val="0"/>
        </w:rPr>
        <w:t xml:space="preserve">STANDARDS </w:t>
      </w:r>
      <w:r w:rsidRPr="00082479">
        <w:rPr>
          <w:rFonts w:cs="Arial"/>
          <w:b/>
          <w:bCs/>
          <w:snapToGrid w:val="0"/>
        </w:rPr>
        <w:t>CODE</w:t>
      </w:r>
      <w:r w:rsidR="007938B6" w:rsidRPr="00082479">
        <w:rPr>
          <w:rFonts w:cs="Arial"/>
          <w:b/>
          <w:bCs/>
          <w:snapToGrid w:val="0"/>
        </w:rPr>
        <w:t>,</w:t>
      </w:r>
    </w:p>
    <w:p w14:paraId="3CB8C9A9" w14:textId="77777777" w:rsidR="007938B6" w:rsidRPr="00082479" w:rsidRDefault="007938B6" w:rsidP="007938B6">
      <w:pPr>
        <w:tabs>
          <w:tab w:val="center" w:pos="4680"/>
        </w:tabs>
        <w:jc w:val="center"/>
        <w:rPr>
          <w:rFonts w:cs="Arial"/>
          <w:b/>
          <w:bCs/>
          <w:snapToGrid w:val="0"/>
        </w:rPr>
      </w:pPr>
      <w:r w:rsidRPr="00082479">
        <w:rPr>
          <w:rFonts w:cs="Arial"/>
          <w:b/>
          <w:bCs/>
          <w:snapToGrid w:val="0"/>
        </w:rPr>
        <w:t xml:space="preserve">(CALGreen), PART 11, </w:t>
      </w:r>
    </w:p>
    <w:p w14:paraId="181D226E" w14:textId="77777777" w:rsidR="007938B6" w:rsidRPr="00082479" w:rsidRDefault="007938B6" w:rsidP="007938B6">
      <w:pPr>
        <w:tabs>
          <w:tab w:val="center" w:pos="4680"/>
        </w:tabs>
        <w:jc w:val="center"/>
        <w:rPr>
          <w:rFonts w:cs="Arial"/>
          <w:b/>
          <w:bCs/>
          <w:snapToGrid w:val="0"/>
        </w:rPr>
      </w:pPr>
      <w:r w:rsidRPr="00082479">
        <w:rPr>
          <w:rFonts w:cs="Arial"/>
          <w:b/>
          <w:bCs/>
          <w:snapToGrid w:val="0"/>
        </w:rPr>
        <w:t xml:space="preserve">CALIFORNIA BUILDING STANDARDS CODE, </w:t>
      </w:r>
    </w:p>
    <w:p w14:paraId="30BE8BC3" w14:textId="77777777" w:rsidR="005E3A9B" w:rsidRPr="00082479" w:rsidRDefault="007938B6" w:rsidP="007938B6">
      <w:pPr>
        <w:tabs>
          <w:tab w:val="center" w:pos="4680"/>
        </w:tabs>
        <w:jc w:val="center"/>
        <w:rPr>
          <w:rFonts w:cs="Arial"/>
          <w:b/>
          <w:bCs/>
          <w:snapToGrid w:val="0"/>
        </w:rPr>
      </w:pPr>
      <w:r w:rsidRPr="00082479">
        <w:rPr>
          <w:rFonts w:cs="Arial"/>
          <w:b/>
          <w:bCs/>
          <w:snapToGrid w:val="0"/>
        </w:rPr>
        <w:t>TITLE 24, CALIFORNIA CODE OF REGULATIONS</w:t>
      </w:r>
    </w:p>
    <w:p w14:paraId="19047B5A" w14:textId="77777777" w:rsidR="00B157CE" w:rsidRPr="00082479" w:rsidRDefault="00B157CE" w:rsidP="00526538">
      <w:pPr>
        <w:spacing w:line="216" w:lineRule="auto"/>
        <w:rPr>
          <w:rFonts w:cs="Arial"/>
          <w:b/>
        </w:rPr>
      </w:pPr>
    </w:p>
    <w:p w14:paraId="5BFCF86C" w14:textId="77777777" w:rsidR="00B157CE" w:rsidRPr="00082479" w:rsidRDefault="00B157CE" w:rsidP="00B157CE">
      <w:pPr>
        <w:spacing w:line="216" w:lineRule="auto"/>
        <w:ind w:left="360"/>
        <w:rPr>
          <w:rFonts w:cs="Arial"/>
          <w:b/>
        </w:rPr>
      </w:pPr>
    </w:p>
    <w:p w14:paraId="5C541B97" w14:textId="77777777" w:rsidR="00E06B7E" w:rsidRDefault="00E06B7E" w:rsidP="00E06B7E">
      <w:pPr>
        <w:pStyle w:val="ListParagraph"/>
        <w:pBdr>
          <w:bottom w:val="single" w:sz="6" w:space="1" w:color="auto"/>
        </w:pBdr>
        <w:ind w:left="0"/>
        <w:rPr>
          <w:rFonts w:ascii="Arial" w:hAnsi="Arial" w:cs="Arial"/>
          <w:szCs w:val="24"/>
        </w:rPr>
      </w:pPr>
    </w:p>
    <w:p w14:paraId="21B3693E" w14:textId="77777777" w:rsidR="00E06B7E" w:rsidRDefault="00E06B7E" w:rsidP="00E06B7E">
      <w:pPr>
        <w:pStyle w:val="ListParagraph"/>
        <w:ind w:left="0"/>
        <w:rPr>
          <w:rFonts w:ascii="Arial" w:hAnsi="Arial" w:cs="Arial"/>
          <w:szCs w:val="24"/>
        </w:rPr>
      </w:pPr>
    </w:p>
    <w:p w14:paraId="7AD92CE3" w14:textId="77777777" w:rsidR="00E06B7E" w:rsidRPr="00D0480A" w:rsidRDefault="00E06B7E" w:rsidP="00E06B7E">
      <w:pPr>
        <w:pStyle w:val="ListParagraph"/>
        <w:ind w:left="0"/>
        <w:rPr>
          <w:rFonts w:ascii="Arial" w:hAnsi="Arial" w:cs="Arial"/>
          <w:szCs w:val="24"/>
        </w:rPr>
      </w:pPr>
      <w:r w:rsidRPr="00D0480A">
        <w:rPr>
          <w:rFonts w:ascii="Arial" w:hAnsi="Arial" w:cs="Arial"/>
          <w:szCs w:val="24"/>
        </w:rPr>
        <w:t>If using assistive technology, please adjust your settings to recognize underline, strikeout and ellipsis.</w:t>
      </w:r>
    </w:p>
    <w:p w14:paraId="789BF799" w14:textId="77777777" w:rsidR="00E06B7E" w:rsidRPr="00D0480A" w:rsidRDefault="00E06B7E" w:rsidP="00E06B7E">
      <w:pPr>
        <w:pStyle w:val="Heading2"/>
        <w:ind w:left="0"/>
        <w:rPr>
          <w:rFonts w:ascii="Arial" w:hAnsi="Arial" w:cs="Arial"/>
          <w:b w:val="0"/>
          <w:sz w:val="24"/>
          <w:szCs w:val="24"/>
        </w:rPr>
      </w:pPr>
      <w:r w:rsidRPr="00D0480A">
        <w:rPr>
          <w:rFonts w:ascii="Arial" w:hAnsi="Arial" w:cs="Arial"/>
          <w:sz w:val="24"/>
          <w:szCs w:val="24"/>
        </w:rPr>
        <w:t xml:space="preserve">LEGEND for EXPRESS TERMS </w:t>
      </w:r>
    </w:p>
    <w:p w14:paraId="1276A198" w14:textId="77777777" w:rsidR="00E06B7E" w:rsidRPr="00D0480A" w:rsidRDefault="00E06B7E" w:rsidP="00E06B7E">
      <w:pPr>
        <w:pStyle w:val="ListParagraph"/>
        <w:widowControl w:val="0"/>
        <w:numPr>
          <w:ilvl w:val="0"/>
          <w:numId w:val="25"/>
        </w:numPr>
        <w:contextualSpacing/>
        <w:rPr>
          <w:rFonts w:ascii="Arial" w:hAnsi="Arial" w:cs="Arial"/>
          <w:szCs w:val="24"/>
        </w:rPr>
      </w:pPr>
      <w:r w:rsidRPr="00D0480A">
        <w:rPr>
          <w:rFonts w:ascii="Arial" w:hAnsi="Arial" w:cs="Arial"/>
          <w:szCs w:val="24"/>
        </w:rPr>
        <w:t>Existing California amendments appear upright</w:t>
      </w:r>
    </w:p>
    <w:p w14:paraId="6C22052E" w14:textId="77777777" w:rsidR="00E06B7E" w:rsidRPr="00D0480A" w:rsidRDefault="00E06B7E" w:rsidP="00E06B7E">
      <w:pPr>
        <w:pStyle w:val="ListParagraph"/>
        <w:widowControl w:val="0"/>
        <w:numPr>
          <w:ilvl w:val="0"/>
          <w:numId w:val="25"/>
        </w:numPr>
        <w:contextualSpacing/>
        <w:rPr>
          <w:rFonts w:ascii="Arial" w:hAnsi="Arial" w:cs="Arial"/>
          <w:szCs w:val="24"/>
        </w:rPr>
      </w:pPr>
      <w:r w:rsidRPr="00D0480A">
        <w:rPr>
          <w:rFonts w:ascii="Arial" w:hAnsi="Arial" w:cs="Arial"/>
          <w:szCs w:val="24"/>
        </w:rPr>
        <w:t xml:space="preserve">Amended or new California amendments appear </w:t>
      </w:r>
      <w:r w:rsidRPr="00D0480A">
        <w:rPr>
          <w:rFonts w:ascii="Arial" w:hAnsi="Arial" w:cs="Arial"/>
          <w:iCs/>
          <w:szCs w:val="24"/>
          <w:u w:val="single"/>
        </w:rPr>
        <w:t>underlined</w:t>
      </w:r>
    </w:p>
    <w:p w14:paraId="702DA20E" w14:textId="77777777" w:rsidR="00E06B7E" w:rsidRPr="00D0480A" w:rsidRDefault="00E06B7E" w:rsidP="00E06B7E">
      <w:pPr>
        <w:pStyle w:val="ListParagraph"/>
        <w:widowControl w:val="0"/>
        <w:numPr>
          <w:ilvl w:val="0"/>
          <w:numId w:val="25"/>
        </w:numPr>
        <w:contextualSpacing/>
        <w:rPr>
          <w:rFonts w:ascii="Arial" w:hAnsi="Arial" w:cs="Arial"/>
          <w:szCs w:val="24"/>
        </w:rPr>
      </w:pPr>
      <w:r w:rsidRPr="00D0480A">
        <w:rPr>
          <w:rFonts w:ascii="Arial" w:hAnsi="Arial" w:cs="Arial"/>
          <w:szCs w:val="24"/>
        </w:rPr>
        <w:t xml:space="preserve">Repealed California language appears </w:t>
      </w:r>
      <w:r w:rsidRPr="00D0480A">
        <w:rPr>
          <w:rFonts w:ascii="Arial" w:hAnsi="Arial" w:cs="Arial"/>
          <w:strike/>
          <w:szCs w:val="24"/>
        </w:rPr>
        <w:t>upright and in strikeout</w:t>
      </w:r>
    </w:p>
    <w:p w14:paraId="21AEE61A" w14:textId="77777777" w:rsidR="00E06B7E" w:rsidRPr="00D0480A" w:rsidRDefault="00E06B7E" w:rsidP="00E06B7E">
      <w:pPr>
        <w:pStyle w:val="ListParagraph"/>
        <w:widowControl w:val="0"/>
        <w:numPr>
          <w:ilvl w:val="0"/>
          <w:numId w:val="25"/>
        </w:numPr>
        <w:contextualSpacing/>
        <w:rPr>
          <w:rFonts w:ascii="Arial" w:hAnsi="Arial" w:cs="Arial"/>
          <w:szCs w:val="24"/>
        </w:rPr>
      </w:pPr>
      <w:r w:rsidRPr="00D0480A">
        <w:rPr>
          <w:rFonts w:ascii="Arial" w:hAnsi="Arial" w:cs="Arial"/>
          <w:szCs w:val="24"/>
        </w:rPr>
        <w:t>Ellipsis (…) indicate existing text remains unchanged</w:t>
      </w:r>
    </w:p>
    <w:p w14:paraId="2F881797" w14:textId="4DBE4664" w:rsidR="000A3AFC" w:rsidRDefault="00640139" w:rsidP="002879AD">
      <w:pPr>
        <w:pStyle w:val="Heading2"/>
        <w:ind w:left="0"/>
        <w:jc w:val="center"/>
        <w:rPr>
          <w:rFonts w:ascii="Arial" w:hAnsi="Arial" w:cs="Arial"/>
          <w:sz w:val="24"/>
          <w:szCs w:val="24"/>
        </w:rPr>
      </w:pPr>
      <w:r>
        <w:rPr>
          <w:rFonts w:ascii="Arial" w:hAnsi="Arial" w:cs="Arial"/>
          <w:color w:val="000000" w:themeColor="text1"/>
          <w:szCs w:val="24"/>
        </w:rPr>
        <w:pict w14:anchorId="53897B82">
          <v:rect id="_x0000_i1025" style="width:468pt;height:.5pt" o:hralign="center" o:hrstd="t" o:hrnoshade="t" o:hr="t" fillcolor="black [3213]" stroked="f"/>
        </w:pict>
      </w:r>
    </w:p>
    <w:p w14:paraId="4CCCB8F9" w14:textId="77777777" w:rsidR="00B157CE" w:rsidRPr="00082479" w:rsidRDefault="00B157CE" w:rsidP="008C0A6B">
      <w:pPr>
        <w:pStyle w:val="Title"/>
        <w:jc w:val="left"/>
        <w:rPr>
          <w:rFonts w:ascii="Arial" w:hAnsi="Arial" w:cs="Arial"/>
          <w:szCs w:val="24"/>
        </w:rPr>
      </w:pPr>
    </w:p>
    <w:p w14:paraId="67DD34A8" w14:textId="423B57BC" w:rsidR="00116AA1" w:rsidRPr="000A3AFC" w:rsidRDefault="0095562E" w:rsidP="009A55B6">
      <w:pPr>
        <w:pStyle w:val="Heading2"/>
        <w:ind w:left="0"/>
        <w:rPr>
          <w:rFonts w:ascii="Arial" w:hAnsi="Arial" w:cs="Arial"/>
          <w:sz w:val="24"/>
          <w:szCs w:val="24"/>
        </w:rPr>
      </w:pPr>
      <w:r w:rsidRPr="000A3AFC">
        <w:rPr>
          <w:rFonts w:ascii="Arial" w:hAnsi="Arial" w:cs="Arial"/>
          <w:sz w:val="24"/>
          <w:szCs w:val="24"/>
        </w:rPr>
        <w:t xml:space="preserve">ITEM </w:t>
      </w:r>
      <w:r w:rsidR="005C5E7C" w:rsidRPr="000A3AFC">
        <w:rPr>
          <w:rFonts w:ascii="Arial" w:hAnsi="Arial" w:cs="Arial"/>
          <w:sz w:val="24"/>
          <w:szCs w:val="24"/>
        </w:rPr>
        <w:t>3</w:t>
      </w:r>
      <w:r w:rsidRPr="000A3AFC">
        <w:rPr>
          <w:rFonts w:ascii="Arial" w:hAnsi="Arial" w:cs="Arial"/>
          <w:sz w:val="24"/>
          <w:szCs w:val="24"/>
        </w:rPr>
        <w:t>A-</w:t>
      </w:r>
      <w:r w:rsidR="005026C5" w:rsidRPr="000A3AFC">
        <w:rPr>
          <w:rFonts w:ascii="Arial" w:hAnsi="Arial" w:cs="Arial"/>
          <w:sz w:val="24"/>
          <w:szCs w:val="24"/>
        </w:rPr>
        <w:t>CO-ADOPTED BY DSA</w:t>
      </w:r>
    </w:p>
    <w:p w14:paraId="64E0F435" w14:textId="530E54EF" w:rsidR="00274032" w:rsidRPr="000A3AFC" w:rsidRDefault="000D1B36" w:rsidP="009A55B6">
      <w:pPr>
        <w:pStyle w:val="Heading2"/>
        <w:ind w:left="0"/>
        <w:rPr>
          <w:rFonts w:ascii="Arial" w:hAnsi="Arial" w:cs="Arial"/>
          <w:sz w:val="24"/>
          <w:szCs w:val="24"/>
        </w:rPr>
      </w:pPr>
      <w:r w:rsidRPr="000A3AFC">
        <w:rPr>
          <w:rFonts w:ascii="Arial" w:hAnsi="Arial" w:cs="Arial"/>
          <w:sz w:val="24"/>
          <w:szCs w:val="24"/>
        </w:rPr>
        <w:t>5.106</w:t>
      </w:r>
      <w:r w:rsidR="00274032" w:rsidRPr="000A3AFC">
        <w:rPr>
          <w:rFonts w:ascii="Arial" w:hAnsi="Arial" w:cs="Arial"/>
          <w:sz w:val="24"/>
          <w:szCs w:val="24"/>
        </w:rPr>
        <w:t>.</w:t>
      </w:r>
      <w:r w:rsidR="001D77BF" w:rsidRPr="000A3AFC">
        <w:rPr>
          <w:rFonts w:ascii="Arial" w:hAnsi="Arial" w:cs="Arial"/>
          <w:sz w:val="24"/>
          <w:szCs w:val="24"/>
        </w:rPr>
        <w:t>5.</w:t>
      </w:r>
      <w:r w:rsidR="00274032" w:rsidRPr="000A3AFC">
        <w:rPr>
          <w:rFonts w:ascii="Arial" w:hAnsi="Arial" w:cs="Arial"/>
          <w:sz w:val="24"/>
          <w:szCs w:val="24"/>
        </w:rPr>
        <w:t>3</w:t>
      </w:r>
      <w:r w:rsidR="007376F9" w:rsidRPr="000A3AFC">
        <w:rPr>
          <w:rFonts w:ascii="Arial" w:hAnsi="Arial" w:cs="Arial"/>
          <w:sz w:val="24"/>
          <w:szCs w:val="24"/>
        </w:rPr>
        <w:t xml:space="preserve"> Electric Vehicle </w:t>
      </w:r>
      <w:r w:rsidR="00226B62" w:rsidRPr="000A3AFC">
        <w:rPr>
          <w:rFonts w:ascii="Arial" w:hAnsi="Arial" w:cs="Arial"/>
          <w:sz w:val="24"/>
          <w:szCs w:val="24"/>
        </w:rPr>
        <w:t>(EV) charging</w:t>
      </w:r>
    </w:p>
    <w:p w14:paraId="25058799" w14:textId="77777777" w:rsidR="00226B62" w:rsidRPr="000A3AFC" w:rsidRDefault="00226B62" w:rsidP="009A55B6">
      <w:pPr>
        <w:pStyle w:val="Heading2"/>
        <w:ind w:left="0"/>
        <w:rPr>
          <w:rFonts w:ascii="Arial" w:hAnsi="Arial" w:cs="Arial"/>
          <w:sz w:val="24"/>
          <w:szCs w:val="24"/>
        </w:rPr>
      </w:pPr>
      <w:r w:rsidRPr="000A3AFC">
        <w:rPr>
          <w:rFonts w:ascii="Arial" w:hAnsi="Arial" w:cs="Arial"/>
          <w:sz w:val="24"/>
          <w:szCs w:val="24"/>
        </w:rPr>
        <w:t>(Mandatory Measures)</w:t>
      </w:r>
    </w:p>
    <w:p w14:paraId="35559960" w14:textId="77777777" w:rsidR="009D7453" w:rsidRPr="00082479" w:rsidRDefault="009D7453" w:rsidP="007376F9">
      <w:pPr>
        <w:autoSpaceDE w:val="0"/>
        <w:autoSpaceDN w:val="0"/>
        <w:adjustRightInd w:val="0"/>
        <w:jc w:val="center"/>
        <w:rPr>
          <w:rFonts w:cs="Arial"/>
        </w:rPr>
      </w:pPr>
    </w:p>
    <w:p w14:paraId="2FE9C2F4" w14:textId="77777777" w:rsidR="00FF4B03" w:rsidRPr="00082479" w:rsidRDefault="00FF4B03" w:rsidP="009A55B6">
      <w:pPr>
        <w:spacing w:line="216" w:lineRule="auto"/>
        <w:rPr>
          <w:rFonts w:cs="Arial"/>
          <w:b/>
        </w:rPr>
      </w:pPr>
      <w:r w:rsidRPr="00082479">
        <w:rPr>
          <w:rFonts w:cs="Arial"/>
          <w:b/>
        </w:rPr>
        <w:t>Statement of specific purpose, problem, rationale and benefits:</w:t>
      </w:r>
    </w:p>
    <w:p w14:paraId="59FC2B24" w14:textId="6D087506" w:rsidR="00E65BCF" w:rsidRPr="00222E81" w:rsidRDefault="00E65BCF" w:rsidP="00D1776B">
      <w:r w:rsidRPr="00222E81">
        <w:t>BSC</w:t>
      </w:r>
      <w:r w:rsidR="004E54A3">
        <w:t>-CG and DSA are</w:t>
      </w:r>
      <w:r w:rsidRPr="00222E81">
        <w:t xml:space="preserve"> propos</w:t>
      </w:r>
      <w:r w:rsidR="00221C63">
        <w:t>ing</w:t>
      </w:r>
      <w:r w:rsidRPr="00222E81">
        <w:t xml:space="preserve"> this section for adoption, which includes a mandatory requirement for Level 2 charging stations in new nonresidential buildings.</w:t>
      </w:r>
    </w:p>
    <w:p w14:paraId="3A0FEB68" w14:textId="77777777" w:rsidR="00E65BCF" w:rsidRPr="00222E81" w:rsidRDefault="00E65BCF" w:rsidP="00D1776B"/>
    <w:p w14:paraId="0FC6BAC4" w14:textId="77777777" w:rsidR="00E65BCF" w:rsidRPr="00222E81" w:rsidRDefault="00E65BCF" w:rsidP="00D1776B">
      <w:r w:rsidRPr="00222E81">
        <w:t>Under a mandate from Assembly Bill 1092 (Chapter 410, Statutes of 2013) authored by Assembly Member Levine, CBSC was directed to develop mandatory EV standards for nonresidential buildings during the 2016 Triennial Code Adoption Cycle.</w:t>
      </w:r>
    </w:p>
    <w:p w14:paraId="55F7BDB4" w14:textId="77777777" w:rsidR="00E65BCF" w:rsidRPr="00222E81" w:rsidRDefault="00E65BCF" w:rsidP="00D1776B"/>
    <w:p w14:paraId="1C358DB1" w14:textId="77777777" w:rsidR="00E65BCF" w:rsidRPr="00222E81" w:rsidRDefault="00E65BCF" w:rsidP="00D1776B">
      <w:r w:rsidRPr="00222E81">
        <w:t xml:space="preserve">Health and Safety Code Section 18930.5(b) as amended by Assembly Bill 341 allows CBSC and other state agencies that propose building standards to allow for input by state agencies that have expertise in green building subject areas.  The California Air Resources Board (CARB) has expertise in air quality, climate change, and EV charging infrastructure.  </w:t>
      </w:r>
    </w:p>
    <w:p w14:paraId="4D8976F9" w14:textId="77777777" w:rsidR="00E65BCF" w:rsidRPr="00222E81" w:rsidRDefault="00E65BCF" w:rsidP="00D1776B"/>
    <w:p w14:paraId="2DA606B9" w14:textId="2D859DC6" w:rsidR="00E65BCF" w:rsidRPr="00222E81" w:rsidRDefault="00E65BCF" w:rsidP="00D1776B">
      <w:r w:rsidRPr="00222E81">
        <w:t>B</w:t>
      </w:r>
      <w:r w:rsidR="00C776BA">
        <w:t>S</w:t>
      </w:r>
      <w:r w:rsidR="0074450E">
        <w:t>C</w:t>
      </w:r>
      <w:r w:rsidR="00A65D95">
        <w:t>-CG</w:t>
      </w:r>
      <w:r w:rsidR="004B1F79">
        <w:t xml:space="preserve"> and DSA</w:t>
      </w:r>
      <w:r w:rsidRPr="00222E81">
        <w:t xml:space="preserve"> </w:t>
      </w:r>
      <w:r w:rsidR="004B1F79">
        <w:t>are</w:t>
      </w:r>
      <w:r w:rsidRPr="00222E81">
        <w:t xml:space="preserve"> moving forward with the CARB suggested changes and proposes to include a mandatory requirement for level 2 charging stations in new nonresidential buildings.  Recent analysis shows that only roughly 30% of existing Electric Vehicle (EV) capable spaces are being converted to EV chargers.  The </w:t>
      </w:r>
      <w:r w:rsidRPr="00222E81">
        <w:lastRenderedPageBreak/>
        <w:t>proposed mandate will increase visibility and access to Level 2 chargers, which are ultimately necessary to support the implementation of 5 million ZEVs by 2030, and to achieve 100% sales of electric vehicles by 2035.</w:t>
      </w:r>
    </w:p>
    <w:p w14:paraId="555CBFFF" w14:textId="77777777" w:rsidR="00E65BCF" w:rsidRPr="00222E81" w:rsidRDefault="00E65BCF" w:rsidP="00D1776B"/>
    <w:p w14:paraId="4297D419" w14:textId="12E147E5" w:rsidR="007376F9" w:rsidRPr="00082479" w:rsidRDefault="00E65BCF" w:rsidP="00D1776B">
      <w:pPr>
        <w:rPr>
          <w:rFonts w:cs="Arial"/>
          <w:color w:val="000000"/>
        </w:rPr>
      </w:pPr>
      <w:r w:rsidRPr="00222E81">
        <w:t xml:space="preserve">In addition to supporting the Administration’s directives, CBSC’s </w:t>
      </w:r>
      <w:r w:rsidR="003F7994">
        <w:t xml:space="preserve">and DSA’s </w:t>
      </w:r>
      <w:r w:rsidRPr="00222E81">
        <w:t>goal is to enable future charging capability at nonresidential buildings in an effort to reduce the lack of access to EV charging which currently exists.  We believe this effort will further encourage the purchase and use of EVs for routine transportation.</w:t>
      </w:r>
    </w:p>
    <w:p w14:paraId="4E8FD480" w14:textId="77777777" w:rsidR="00E65BCF" w:rsidRDefault="007376F9" w:rsidP="00D1776B">
      <w:pPr>
        <w:rPr>
          <w:rFonts w:cs="Arial"/>
          <w:color w:val="000000"/>
        </w:rPr>
      </w:pPr>
      <w:r w:rsidRPr="00082479">
        <w:rPr>
          <w:rFonts w:cs="Arial"/>
          <w:color w:val="000000"/>
        </w:rPr>
        <w:tab/>
      </w:r>
    </w:p>
    <w:p w14:paraId="55B0943A" w14:textId="0D6DF655" w:rsidR="007376F9" w:rsidRPr="00082479" w:rsidRDefault="007376F9" w:rsidP="00D1776B">
      <w:pPr>
        <w:rPr>
          <w:rFonts w:cs="Arial"/>
          <w:b/>
          <w:color w:val="000000"/>
        </w:rPr>
      </w:pPr>
      <w:r w:rsidRPr="00082479">
        <w:rPr>
          <w:rFonts w:cs="Arial"/>
          <w:b/>
          <w:color w:val="000000"/>
        </w:rPr>
        <w:t>History:</w:t>
      </w:r>
    </w:p>
    <w:p w14:paraId="72336A68" w14:textId="5C7B7343" w:rsidR="00463846" w:rsidRPr="00082479" w:rsidRDefault="00455338" w:rsidP="00D1776B">
      <w:pPr>
        <w:rPr>
          <w:rFonts w:cs="Arial"/>
          <w:b/>
          <w:color w:val="000000"/>
        </w:rPr>
      </w:pPr>
      <w:r>
        <w:rPr>
          <w:rFonts w:cs="Arial"/>
          <w:color w:val="000000"/>
        </w:rPr>
        <w:t>BSC</w:t>
      </w:r>
      <w:r w:rsidR="004C631B">
        <w:rPr>
          <w:rFonts w:cs="Arial"/>
          <w:color w:val="000000"/>
        </w:rPr>
        <w:t>-CG</w:t>
      </w:r>
      <w:r w:rsidR="00640139">
        <w:rPr>
          <w:rFonts w:cs="Arial"/>
          <w:color w:val="000000"/>
        </w:rPr>
        <w:t xml:space="preserve"> and DSA’s</w:t>
      </w:r>
      <w:r w:rsidR="007376F9" w:rsidRPr="00082479">
        <w:rPr>
          <w:rFonts w:cs="Arial"/>
          <w:color w:val="000000"/>
        </w:rPr>
        <w:t xml:space="preserve"> Zero Emission Vehicle</w:t>
      </w:r>
      <w:r w:rsidR="0076332A" w:rsidRPr="00082479">
        <w:rPr>
          <w:rFonts w:cs="Arial"/>
          <w:color w:val="000000"/>
        </w:rPr>
        <w:t xml:space="preserve"> (ZEV)</w:t>
      </w:r>
      <w:r w:rsidR="007376F9" w:rsidRPr="00082479">
        <w:rPr>
          <w:rFonts w:cs="Arial"/>
          <w:color w:val="000000"/>
        </w:rPr>
        <w:t xml:space="preserve"> regulation </w:t>
      </w:r>
      <w:r w:rsidR="00210734" w:rsidRPr="00082479">
        <w:rPr>
          <w:rFonts w:cs="Arial"/>
          <w:color w:val="000000"/>
        </w:rPr>
        <w:t>is</w:t>
      </w:r>
      <w:r w:rsidR="007376F9" w:rsidRPr="00082479">
        <w:rPr>
          <w:rFonts w:cs="Arial"/>
          <w:color w:val="000000"/>
        </w:rPr>
        <w:t xml:space="preserve"> one strategy to improve air quality and reduce </w:t>
      </w:r>
      <w:r w:rsidR="00B157CE" w:rsidRPr="00082479">
        <w:rPr>
          <w:rFonts w:cs="Arial"/>
          <w:color w:val="000000"/>
        </w:rPr>
        <w:t>greenhouse</w:t>
      </w:r>
      <w:r w:rsidR="00C5408B" w:rsidRPr="00082479">
        <w:rPr>
          <w:rFonts w:cs="Arial"/>
          <w:color w:val="000000"/>
        </w:rPr>
        <w:t xml:space="preserve"> gas emissions</w:t>
      </w:r>
      <w:r w:rsidR="00BF7951" w:rsidRPr="00082479">
        <w:rPr>
          <w:rFonts w:cs="Arial"/>
          <w:color w:val="000000"/>
        </w:rPr>
        <w:t xml:space="preserve"> through advanced technology vehicle production </w:t>
      </w:r>
      <w:r w:rsidR="00BF7951" w:rsidRPr="00B65BCB">
        <w:rPr>
          <w:rFonts w:cs="Arial"/>
          <w:color w:val="000000"/>
        </w:rPr>
        <w:t xml:space="preserve">and </w:t>
      </w:r>
      <w:r w:rsidR="00B65BCB">
        <w:rPr>
          <w:rFonts w:cs="Arial"/>
          <w:color w:val="000000"/>
        </w:rPr>
        <w:t xml:space="preserve">Low-Emission Vehicle Regulations placed </w:t>
      </w:r>
      <w:r w:rsidR="00BF7951" w:rsidRPr="00B65BCB">
        <w:rPr>
          <w:rFonts w:cs="Arial"/>
          <w:color w:val="000000"/>
        </w:rPr>
        <w:t>on automobile manufacturers</w:t>
      </w:r>
      <w:r w:rsidR="007376F9" w:rsidRPr="00B65BCB">
        <w:rPr>
          <w:rFonts w:cs="Arial"/>
          <w:color w:val="000000"/>
        </w:rPr>
        <w:t>. </w:t>
      </w:r>
      <w:r w:rsidR="007376F9" w:rsidRPr="00082479">
        <w:rPr>
          <w:rFonts w:cs="Arial"/>
          <w:color w:val="000000"/>
        </w:rPr>
        <w:t xml:space="preserve"> </w:t>
      </w:r>
      <w:r w:rsidR="00BF7951" w:rsidRPr="00082479">
        <w:rPr>
          <w:rFonts w:cs="Arial"/>
          <w:color w:val="000000"/>
        </w:rPr>
        <w:t xml:space="preserve">Consumers are embracing </w:t>
      </w:r>
      <w:r w:rsidR="00B85C69">
        <w:rPr>
          <w:rFonts w:cs="Arial"/>
          <w:color w:val="000000"/>
        </w:rPr>
        <w:t>electric and electric/hybrid</w:t>
      </w:r>
      <w:r w:rsidR="00BF7951" w:rsidRPr="00082479">
        <w:rPr>
          <w:rFonts w:cs="Arial"/>
          <w:color w:val="000000"/>
        </w:rPr>
        <w:t xml:space="preserve"> vehicles and there is a need for widespread infrastructure to support future charging needs.</w:t>
      </w:r>
      <w:r w:rsidR="00873F10" w:rsidRPr="00082479">
        <w:rPr>
          <w:rFonts w:cs="Arial"/>
          <w:color w:val="000000"/>
        </w:rPr>
        <w:t xml:space="preserve"> </w:t>
      </w:r>
      <w:r w:rsidR="0076332A" w:rsidRPr="00082479">
        <w:rPr>
          <w:rFonts w:cs="Arial"/>
          <w:color w:val="000000"/>
        </w:rPr>
        <w:t>Additionally, t</w:t>
      </w:r>
      <w:r w:rsidR="007376F9" w:rsidRPr="00082479">
        <w:rPr>
          <w:rFonts w:cs="Arial"/>
          <w:color w:val="000000"/>
        </w:rPr>
        <w:t>he Governor’s</w:t>
      </w:r>
      <w:r w:rsidR="00BF7951" w:rsidRPr="00082479">
        <w:rPr>
          <w:rFonts w:cs="Arial"/>
          <w:color w:val="000000"/>
        </w:rPr>
        <w:t xml:space="preserve"> Office</w:t>
      </w:r>
      <w:r w:rsidR="007376F9" w:rsidRPr="00082479">
        <w:rPr>
          <w:rFonts w:cs="Arial"/>
          <w:color w:val="000000"/>
        </w:rPr>
        <w:t xml:space="preserve"> </w:t>
      </w:r>
      <w:r w:rsidR="00F97ADC" w:rsidRPr="00082479">
        <w:rPr>
          <w:rFonts w:cs="Arial"/>
          <w:color w:val="000000"/>
        </w:rPr>
        <w:t xml:space="preserve">Zero Emission Vehicle </w:t>
      </w:r>
      <w:r w:rsidR="00F97ADC">
        <w:rPr>
          <w:rFonts w:cs="Arial"/>
          <w:color w:val="000000"/>
        </w:rPr>
        <w:t>(</w:t>
      </w:r>
      <w:r w:rsidR="007376F9" w:rsidRPr="00082479">
        <w:rPr>
          <w:rFonts w:cs="Arial"/>
          <w:color w:val="000000"/>
        </w:rPr>
        <w:t>ZEV</w:t>
      </w:r>
      <w:r w:rsidR="00F97ADC">
        <w:rPr>
          <w:rFonts w:cs="Arial"/>
          <w:color w:val="000000"/>
        </w:rPr>
        <w:t>)</w:t>
      </w:r>
      <w:r w:rsidR="007376F9" w:rsidRPr="00082479">
        <w:rPr>
          <w:rFonts w:cs="Arial"/>
          <w:color w:val="000000"/>
        </w:rPr>
        <w:t xml:space="preserve"> Action Plan</w:t>
      </w:r>
      <w:r w:rsidR="00BF7951" w:rsidRPr="00082479">
        <w:rPr>
          <w:rFonts w:cs="Arial"/>
          <w:color w:val="000000"/>
        </w:rPr>
        <w:t xml:space="preserve"> </w:t>
      </w:r>
      <w:r w:rsidR="0076332A" w:rsidRPr="00082479">
        <w:rPr>
          <w:rFonts w:cs="Arial"/>
          <w:color w:val="000000"/>
        </w:rPr>
        <w:t>identifies strat</w:t>
      </w:r>
      <w:r w:rsidR="00BF7951" w:rsidRPr="00082479">
        <w:rPr>
          <w:rFonts w:cs="Arial"/>
          <w:color w:val="000000"/>
        </w:rPr>
        <w:t>egies and actions supporting</w:t>
      </w:r>
      <w:r w:rsidR="0076332A" w:rsidRPr="00082479">
        <w:rPr>
          <w:rFonts w:cs="Arial"/>
          <w:color w:val="000000"/>
        </w:rPr>
        <w:t xml:space="preserve"> the milestones identified in</w:t>
      </w:r>
      <w:r w:rsidR="00BF7951" w:rsidRPr="00082479">
        <w:rPr>
          <w:rFonts w:cs="Arial"/>
          <w:color w:val="000000"/>
        </w:rPr>
        <w:t xml:space="preserve"> </w:t>
      </w:r>
      <w:r w:rsidR="00716D3D">
        <w:rPr>
          <w:rFonts w:cs="Arial"/>
          <w:color w:val="000000"/>
        </w:rPr>
        <w:t>Executive Order B-16-</w:t>
      </w:r>
      <w:r w:rsidR="00BF7951" w:rsidRPr="00082479">
        <w:rPr>
          <w:rFonts w:cs="Arial"/>
          <w:color w:val="000000"/>
        </w:rPr>
        <w:t>12</w:t>
      </w:r>
      <w:r w:rsidR="00582FFA">
        <w:rPr>
          <w:rFonts w:cs="Arial"/>
          <w:color w:val="000000"/>
        </w:rPr>
        <w:t xml:space="preserve">, and </w:t>
      </w:r>
      <w:r w:rsidR="001713E8">
        <w:rPr>
          <w:rFonts w:cs="Arial"/>
          <w:color w:val="000000"/>
        </w:rPr>
        <w:t xml:space="preserve">a revised </w:t>
      </w:r>
      <w:r w:rsidR="0076332A" w:rsidRPr="00082479">
        <w:rPr>
          <w:rFonts w:cs="Arial"/>
          <w:color w:val="000000"/>
        </w:rPr>
        <w:t xml:space="preserve">target of </w:t>
      </w:r>
      <w:r w:rsidR="008F5D4D">
        <w:rPr>
          <w:rFonts w:cs="Arial"/>
          <w:color w:val="000000"/>
        </w:rPr>
        <w:t>5</w:t>
      </w:r>
      <w:r w:rsidR="0076332A" w:rsidRPr="00082479">
        <w:rPr>
          <w:rFonts w:cs="Arial"/>
          <w:color w:val="000000"/>
        </w:rPr>
        <w:t xml:space="preserve"> million ZEVs on California’s roadways by 20</w:t>
      </w:r>
      <w:r w:rsidR="00470366">
        <w:rPr>
          <w:rFonts w:cs="Arial"/>
          <w:color w:val="000000"/>
        </w:rPr>
        <w:t>30</w:t>
      </w:r>
      <w:r w:rsidR="008F5D4D">
        <w:rPr>
          <w:rFonts w:cs="Arial"/>
          <w:color w:val="000000"/>
        </w:rPr>
        <w:t xml:space="preserve"> as directed by </w:t>
      </w:r>
      <w:r w:rsidR="00052220" w:rsidRPr="00082479">
        <w:rPr>
          <w:rFonts w:cs="Arial"/>
          <w:color w:val="000000"/>
        </w:rPr>
        <w:t>Executive Order</w:t>
      </w:r>
      <w:r w:rsidR="008F5D4D">
        <w:rPr>
          <w:rFonts w:cs="Arial"/>
          <w:color w:val="000000"/>
        </w:rPr>
        <w:t xml:space="preserve"> B-48-18</w:t>
      </w:r>
      <w:r w:rsidR="0076332A" w:rsidRPr="00082479">
        <w:rPr>
          <w:rFonts w:cs="Arial"/>
          <w:color w:val="000000"/>
        </w:rPr>
        <w:t>.</w:t>
      </w:r>
      <w:r w:rsidR="00463846" w:rsidRPr="00082479">
        <w:rPr>
          <w:rFonts w:cs="Arial"/>
          <w:b/>
          <w:color w:val="000000"/>
        </w:rPr>
        <w:t xml:space="preserve"> </w:t>
      </w:r>
    </w:p>
    <w:p w14:paraId="398602DB" w14:textId="77777777" w:rsidR="004B05E6" w:rsidRDefault="004B05E6" w:rsidP="00D1776B">
      <w:pPr>
        <w:rPr>
          <w:rFonts w:cs="Arial"/>
          <w:b/>
          <w:color w:val="000000"/>
        </w:rPr>
      </w:pPr>
    </w:p>
    <w:p w14:paraId="652854C3" w14:textId="77777777" w:rsidR="007376F9" w:rsidRPr="00082479" w:rsidRDefault="007376F9" w:rsidP="00D1776B">
      <w:pPr>
        <w:rPr>
          <w:rFonts w:cs="Arial"/>
          <w:b/>
          <w:color w:val="000000"/>
        </w:rPr>
      </w:pPr>
      <w:r w:rsidRPr="00082479">
        <w:rPr>
          <w:rFonts w:cs="Arial"/>
          <w:b/>
          <w:color w:val="000000"/>
        </w:rPr>
        <w:t>Rationale for proposed code change:</w:t>
      </w:r>
    </w:p>
    <w:p w14:paraId="1A8CD018" w14:textId="00F75F4B" w:rsidR="00AD22F0" w:rsidRDefault="00AD22F0" w:rsidP="00D1776B">
      <w:r w:rsidRPr="00222E81">
        <w:t>B</w:t>
      </w:r>
      <w:r w:rsidR="00043CF0">
        <w:t>S</w:t>
      </w:r>
      <w:r w:rsidRPr="00222E81">
        <w:t>C</w:t>
      </w:r>
      <w:r w:rsidR="00043CF0">
        <w:t>-CG</w:t>
      </w:r>
      <w:r w:rsidRPr="00222E81">
        <w:t xml:space="preserve"> </w:t>
      </w:r>
      <w:r w:rsidR="00640139">
        <w:t xml:space="preserve">and DSA’s </w:t>
      </w:r>
      <w:bookmarkStart w:id="0" w:name="_GoBack"/>
      <w:bookmarkEnd w:id="0"/>
      <w:r w:rsidRPr="00222E81">
        <w:t>proposes to include a mandatory requirement for level 2 charging stations in new nonresidential buildings. This change will help improve air quality and reduce an estimated 326,000 to 341,000 metric tons of carbon dioxide equivalent (CO</w:t>
      </w:r>
      <w:r w:rsidRPr="00222E81">
        <w:rPr>
          <w:vertAlign w:val="subscript"/>
        </w:rPr>
        <w:t>2</w:t>
      </w:r>
      <w:r w:rsidRPr="00222E81">
        <w:t>e) annually between 2023 and the end of 2030.</w:t>
      </w:r>
    </w:p>
    <w:p w14:paraId="787B355C" w14:textId="77777777" w:rsidR="00AD22F0" w:rsidRPr="00222E81" w:rsidRDefault="00AD22F0" w:rsidP="00AD22F0">
      <w:pPr>
        <w:ind w:left="720"/>
      </w:pPr>
    </w:p>
    <w:p w14:paraId="5748A870" w14:textId="02A3C236" w:rsidR="00BF7F82" w:rsidRPr="00082479" w:rsidRDefault="00AD22F0" w:rsidP="00093408">
      <w:pPr>
        <w:spacing w:after="480"/>
        <w:rPr>
          <w:rFonts w:cs="Arial"/>
          <w:color w:val="000000"/>
        </w:rPr>
      </w:pPr>
      <w:r>
        <w:rPr>
          <w:rFonts w:cs="Arial"/>
          <w:color w:val="000000"/>
        </w:rPr>
        <w:t>T</w:t>
      </w:r>
      <w:r w:rsidR="00EA38AB" w:rsidRPr="00082479">
        <w:rPr>
          <w:rFonts w:cs="Arial"/>
          <w:color w:val="000000"/>
        </w:rPr>
        <w:t>hese incremental changes in both the mandatory and voluntary provisions will support new buildings incorporating EV infrastructure in conjunction with electric vehicle market penetration</w:t>
      </w:r>
      <w:r w:rsidR="00EA38AB" w:rsidRPr="00992229">
        <w:rPr>
          <w:rFonts w:cs="Arial"/>
          <w:color w:val="000000"/>
        </w:rPr>
        <w:t>.</w:t>
      </w:r>
      <w:r w:rsidR="00C064F6" w:rsidRPr="00992229">
        <w:rPr>
          <w:rFonts w:cs="Arial"/>
          <w:color w:val="000000"/>
        </w:rPr>
        <w:t xml:space="preserve"> </w:t>
      </w:r>
      <w:r w:rsidR="005D03BF">
        <w:rPr>
          <w:rFonts w:cs="Arial"/>
          <w:color w:val="000000"/>
        </w:rPr>
        <w:t>The</w:t>
      </w:r>
      <w:r w:rsidR="00C24149">
        <w:rPr>
          <w:rFonts w:cs="Arial"/>
          <w:color w:val="000000"/>
        </w:rPr>
        <w:t>se</w:t>
      </w:r>
      <w:r w:rsidR="005D03BF">
        <w:rPr>
          <w:rFonts w:cs="Arial"/>
          <w:color w:val="000000"/>
        </w:rPr>
        <w:t xml:space="preserve"> amendments will </w:t>
      </w:r>
      <w:r w:rsidR="005A6E67">
        <w:rPr>
          <w:rFonts w:cs="Arial"/>
          <w:color w:val="000000"/>
        </w:rPr>
        <w:t xml:space="preserve">add uniformity and consistency between mandatory and voluntary provisions. </w:t>
      </w:r>
      <w:r w:rsidR="005D03BF">
        <w:rPr>
          <w:rFonts w:cs="Arial"/>
          <w:color w:val="000000"/>
        </w:rPr>
        <w:t xml:space="preserve"> </w:t>
      </w:r>
    </w:p>
    <w:p w14:paraId="1972A43C" w14:textId="77777777" w:rsidR="00E21B24" w:rsidRPr="00E21B24" w:rsidRDefault="00E21B24" w:rsidP="002F558F">
      <w:pPr>
        <w:pStyle w:val="BodyText3"/>
        <w:jc w:val="center"/>
        <w:rPr>
          <w:rFonts w:ascii="Arial" w:hAnsi="Arial" w:cs="Arial"/>
          <w:b/>
          <w:bCs/>
          <w:szCs w:val="24"/>
        </w:rPr>
      </w:pPr>
      <w:bookmarkStart w:id="1" w:name="_Toc361046389"/>
      <w:bookmarkStart w:id="2" w:name="_Toc361051386"/>
      <w:r w:rsidRPr="00E21B24">
        <w:rPr>
          <w:rFonts w:cs="Arial"/>
          <w:b/>
          <w:color w:val="000000"/>
        </w:rPr>
        <w:t>CHAPTER 5</w:t>
      </w:r>
    </w:p>
    <w:p w14:paraId="5E135994" w14:textId="77777777" w:rsidR="00E21B24" w:rsidRPr="00A430FC" w:rsidRDefault="00E21B24" w:rsidP="00E21B24">
      <w:pPr>
        <w:pStyle w:val="BodyText3"/>
        <w:jc w:val="center"/>
        <w:rPr>
          <w:rFonts w:ascii="Arial" w:hAnsi="Arial" w:cs="Arial"/>
          <w:b/>
          <w:bCs/>
          <w:szCs w:val="24"/>
        </w:rPr>
      </w:pPr>
      <w:r>
        <w:rPr>
          <w:rFonts w:ascii="Arial" w:hAnsi="Arial" w:cs="Arial"/>
          <w:b/>
          <w:bCs/>
          <w:szCs w:val="24"/>
        </w:rPr>
        <w:t>NONRESIDENTIAL MAND</w:t>
      </w:r>
      <w:r w:rsidR="003801E3">
        <w:rPr>
          <w:rFonts w:ascii="Arial" w:hAnsi="Arial" w:cs="Arial"/>
          <w:b/>
          <w:bCs/>
          <w:szCs w:val="24"/>
        </w:rPr>
        <w:t>A</w:t>
      </w:r>
      <w:r>
        <w:rPr>
          <w:rFonts w:ascii="Arial" w:hAnsi="Arial" w:cs="Arial"/>
          <w:b/>
          <w:bCs/>
          <w:szCs w:val="24"/>
        </w:rPr>
        <w:t>TORY MEASURES</w:t>
      </w:r>
    </w:p>
    <w:p w14:paraId="27605D0E" w14:textId="77777777" w:rsidR="00E21B24" w:rsidRDefault="00E21B24" w:rsidP="00E21B24">
      <w:pPr>
        <w:pStyle w:val="BodyText3"/>
        <w:rPr>
          <w:rFonts w:ascii="Arial" w:hAnsi="Arial" w:cs="Arial"/>
          <w:b/>
          <w:bCs/>
          <w:szCs w:val="24"/>
        </w:rPr>
      </w:pPr>
      <w:r>
        <w:rPr>
          <w:rFonts w:ascii="Arial" w:hAnsi="Arial" w:cs="Arial"/>
          <w:b/>
          <w:bCs/>
          <w:szCs w:val="24"/>
        </w:rPr>
        <w:t>. . .</w:t>
      </w:r>
    </w:p>
    <w:p w14:paraId="36DEB735" w14:textId="77777777" w:rsidR="00E21B24" w:rsidRPr="00A430FC" w:rsidRDefault="00E21B24" w:rsidP="00E21B24">
      <w:pPr>
        <w:pStyle w:val="BodyText3"/>
        <w:rPr>
          <w:rFonts w:ascii="Arial" w:hAnsi="Arial" w:cs="Arial"/>
          <w:b/>
          <w:bCs/>
          <w:szCs w:val="24"/>
        </w:rPr>
      </w:pPr>
    </w:p>
    <w:p w14:paraId="19272CEB" w14:textId="77777777" w:rsidR="00E21B24" w:rsidRDefault="00E21B24" w:rsidP="00E21B24">
      <w:pPr>
        <w:autoSpaceDE w:val="0"/>
        <w:autoSpaceDN w:val="0"/>
        <w:adjustRightInd w:val="0"/>
        <w:jc w:val="center"/>
        <w:rPr>
          <w:rFonts w:eastAsia="SimSun" w:cs="Arial"/>
          <w:b/>
          <w:bCs/>
        </w:rPr>
      </w:pPr>
      <w:r>
        <w:rPr>
          <w:rFonts w:eastAsia="SimSun" w:cs="Arial"/>
          <w:b/>
          <w:bCs/>
        </w:rPr>
        <w:t>SECTION 5.106</w:t>
      </w:r>
    </w:p>
    <w:p w14:paraId="0EF303D9" w14:textId="77777777" w:rsidR="00E21B24" w:rsidRDefault="00E21B24" w:rsidP="00E21B24">
      <w:pPr>
        <w:autoSpaceDE w:val="0"/>
        <w:autoSpaceDN w:val="0"/>
        <w:adjustRightInd w:val="0"/>
        <w:jc w:val="center"/>
        <w:rPr>
          <w:rFonts w:eastAsia="SimSun" w:cs="Arial"/>
          <w:b/>
          <w:bCs/>
        </w:rPr>
      </w:pPr>
      <w:r>
        <w:rPr>
          <w:rFonts w:eastAsia="SimSun" w:cs="Arial"/>
          <w:b/>
          <w:bCs/>
        </w:rPr>
        <w:t>SITE DEVELOPMENT</w:t>
      </w:r>
    </w:p>
    <w:p w14:paraId="1BE75275" w14:textId="77777777" w:rsidR="00E21B24" w:rsidRDefault="00E21B24" w:rsidP="00E21B24">
      <w:pPr>
        <w:autoSpaceDE w:val="0"/>
        <w:autoSpaceDN w:val="0"/>
        <w:adjustRightInd w:val="0"/>
        <w:rPr>
          <w:rFonts w:eastAsia="SimSun" w:cs="Arial"/>
          <w:b/>
          <w:bCs/>
        </w:rPr>
      </w:pPr>
      <w:r>
        <w:rPr>
          <w:rFonts w:eastAsia="SimSun" w:cs="Arial"/>
          <w:b/>
          <w:bCs/>
        </w:rPr>
        <w:t>. . .</w:t>
      </w:r>
    </w:p>
    <w:p w14:paraId="145315F1" w14:textId="77777777" w:rsidR="000D6A02" w:rsidRDefault="000D6A02" w:rsidP="00053D4B">
      <w:pPr>
        <w:autoSpaceDE w:val="0"/>
        <w:autoSpaceDN w:val="0"/>
        <w:adjustRightInd w:val="0"/>
        <w:rPr>
          <w:rFonts w:cs="Arial"/>
          <w:color w:val="000000"/>
        </w:rPr>
      </w:pPr>
    </w:p>
    <w:p w14:paraId="4B87F023" w14:textId="6435A986" w:rsidR="00137A0D" w:rsidRPr="00512BE3" w:rsidRDefault="00053D4B" w:rsidP="00137A0D">
      <w:pPr>
        <w:spacing w:before="120"/>
        <w:rPr>
          <w:rFonts w:cs="Arial"/>
          <w:noProof/>
        </w:rPr>
      </w:pPr>
      <w:r w:rsidRPr="00082479">
        <w:rPr>
          <w:rFonts w:eastAsia="SimSun" w:cs="Arial"/>
          <w:b/>
          <w:bCs/>
        </w:rPr>
        <w:t>5.106.5.3 Electric vehicle (EV) charging</w:t>
      </w:r>
      <w:r w:rsidR="00C228F9">
        <w:rPr>
          <w:rFonts w:eastAsia="SimSun" w:cs="Arial"/>
          <w:b/>
          <w:bCs/>
        </w:rPr>
        <w:t>. [N</w:t>
      </w:r>
      <w:r w:rsidR="00C228F9" w:rsidRPr="00512BE3">
        <w:rPr>
          <w:rFonts w:eastAsia="SimSun" w:cs="Arial"/>
          <w:b/>
          <w:bCs/>
        </w:rPr>
        <w:t xml:space="preserve">] </w:t>
      </w:r>
      <w:r w:rsidR="00137A0D" w:rsidRPr="00512BE3">
        <w:rPr>
          <w:rFonts w:cs="Arial"/>
          <w:noProof/>
        </w:rPr>
        <w:t xml:space="preserve">Construction shall comply with Section 5.106.5.3.1 or Section 5.106.5.3.2 to facilitate future installation of electric vehicle supply equipment (EVSE).  </w:t>
      </w:r>
      <w:r w:rsidR="00137A0D" w:rsidRPr="00512BE3">
        <w:rPr>
          <w:rFonts w:cs="Arial"/>
          <w:noProof/>
          <w:u w:val="single"/>
        </w:rPr>
        <w:t xml:space="preserve">When at least one charging space is required per Table 5.106.5.3.3, one </w:t>
      </w:r>
      <w:r w:rsidR="009135A1">
        <w:rPr>
          <w:rFonts w:cs="Arial"/>
          <w:noProof/>
          <w:u w:val="single"/>
        </w:rPr>
        <w:t xml:space="preserve">space equiped with </w:t>
      </w:r>
      <w:r w:rsidR="00137A0D" w:rsidRPr="00512BE3">
        <w:rPr>
          <w:rFonts w:cs="Arial"/>
          <w:noProof/>
          <w:u w:val="single"/>
        </w:rPr>
        <w:t>EV</w:t>
      </w:r>
      <w:r w:rsidR="0046764B">
        <w:rPr>
          <w:rFonts w:cs="Arial"/>
          <w:noProof/>
          <w:u w:val="single"/>
        </w:rPr>
        <w:t>SE</w:t>
      </w:r>
      <w:r w:rsidR="00137A0D" w:rsidRPr="00512BE3">
        <w:rPr>
          <w:rFonts w:cs="Arial"/>
          <w:noProof/>
          <w:u w:val="single"/>
        </w:rPr>
        <w:t xml:space="preserve"> shall be installed in addition to the required number of EV charging spaces.  </w:t>
      </w:r>
      <w:r w:rsidR="00137A0D" w:rsidRPr="00512BE3">
        <w:rPr>
          <w:rFonts w:cs="Arial"/>
          <w:noProof/>
        </w:rPr>
        <w:t xml:space="preserve"> When EVSE(s) is/are installed, it shall be in accor</w:t>
      </w:r>
      <w:r w:rsidR="00137A0D" w:rsidRPr="00512BE3">
        <w:rPr>
          <w:rFonts w:cs="Arial"/>
          <w:noProof/>
        </w:rPr>
        <w:softHyphen/>
        <w:t xml:space="preserve">dance with the </w:t>
      </w:r>
      <w:r w:rsidR="00137A0D" w:rsidRPr="00512BE3">
        <w:rPr>
          <w:rFonts w:cs="Arial"/>
          <w:i/>
          <w:iCs/>
          <w:noProof/>
        </w:rPr>
        <w:t xml:space="preserve">California Building Code, </w:t>
      </w:r>
      <w:r w:rsidR="00137A0D" w:rsidRPr="00512BE3">
        <w:rPr>
          <w:rFonts w:cs="Arial"/>
          <w:noProof/>
        </w:rPr>
        <w:t xml:space="preserve">the </w:t>
      </w:r>
      <w:r w:rsidR="00137A0D" w:rsidRPr="00512BE3">
        <w:rPr>
          <w:rFonts w:cs="Arial"/>
          <w:i/>
          <w:iCs/>
          <w:noProof/>
        </w:rPr>
        <w:t xml:space="preserve">California Electrical Code </w:t>
      </w:r>
      <w:r w:rsidR="00137A0D" w:rsidRPr="00512BE3">
        <w:rPr>
          <w:rFonts w:cs="Arial"/>
          <w:noProof/>
        </w:rPr>
        <w:t>and as follows:</w:t>
      </w:r>
    </w:p>
    <w:p w14:paraId="527D844F" w14:textId="79E7C545" w:rsidR="00053D4B" w:rsidRDefault="00053D4B" w:rsidP="00053D4B">
      <w:pPr>
        <w:autoSpaceDE w:val="0"/>
        <w:autoSpaceDN w:val="0"/>
        <w:adjustRightInd w:val="0"/>
        <w:rPr>
          <w:rFonts w:eastAsia="SimSun" w:cs="Arial"/>
          <w:b/>
          <w:bCs/>
        </w:rPr>
      </w:pPr>
    </w:p>
    <w:p w14:paraId="3449A8A9" w14:textId="77777777" w:rsidR="00C228F9" w:rsidRPr="00082479" w:rsidRDefault="00C228F9" w:rsidP="00053D4B">
      <w:pPr>
        <w:autoSpaceDE w:val="0"/>
        <w:autoSpaceDN w:val="0"/>
        <w:adjustRightInd w:val="0"/>
        <w:rPr>
          <w:rFonts w:eastAsia="SimSun" w:cs="Arial"/>
          <w:b/>
          <w:bCs/>
        </w:rPr>
      </w:pPr>
    </w:p>
    <w:p w14:paraId="08D82CB2" w14:textId="77777777" w:rsidR="000D6A02" w:rsidRDefault="00053D4B" w:rsidP="000D6A02">
      <w:pPr>
        <w:autoSpaceDE w:val="0"/>
        <w:autoSpaceDN w:val="0"/>
        <w:adjustRightInd w:val="0"/>
        <w:ind w:left="360"/>
        <w:rPr>
          <w:rFonts w:eastAsia="SimSun" w:cs="Arial"/>
          <w:b/>
          <w:bCs/>
        </w:rPr>
      </w:pPr>
      <w:r w:rsidRPr="00082479">
        <w:rPr>
          <w:rFonts w:eastAsia="SimSun" w:cs="Arial"/>
          <w:b/>
          <w:bCs/>
        </w:rPr>
        <w:t>5.106.5.3.1 Single charging space requirements</w:t>
      </w:r>
      <w:r w:rsidR="00C228F9">
        <w:rPr>
          <w:rFonts w:eastAsia="SimSun" w:cs="Arial"/>
          <w:b/>
          <w:bCs/>
        </w:rPr>
        <w:t xml:space="preserve"> [N]</w:t>
      </w:r>
    </w:p>
    <w:p w14:paraId="68375F36" w14:textId="77777777" w:rsidR="00053D4B" w:rsidRPr="00082479" w:rsidRDefault="00053D4B" w:rsidP="000D6A02">
      <w:pPr>
        <w:autoSpaceDE w:val="0"/>
        <w:autoSpaceDN w:val="0"/>
        <w:adjustRightInd w:val="0"/>
        <w:ind w:left="360"/>
        <w:rPr>
          <w:rFonts w:eastAsia="SimSun" w:cs="Arial"/>
          <w:bCs/>
        </w:rPr>
      </w:pPr>
      <w:r w:rsidRPr="00082479">
        <w:rPr>
          <w:rFonts w:eastAsia="SimSun" w:cs="Arial"/>
          <w:bCs/>
        </w:rPr>
        <w:lastRenderedPageBreak/>
        <w:t>When only a single</w:t>
      </w:r>
      <w:r w:rsidR="000D6A02">
        <w:rPr>
          <w:rFonts w:eastAsia="SimSun" w:cs="Arial"/>
          <w:bCs/>
        </w:rPr>
        <w:t xml:space="preserve"> </w:t>
      </w:r>
      <w:r w:rsidR="000D6A02">
        <w:rPr>
          <w:rFonts w:eastAsia="SimSun" w:cs="Arial"/>
          <w:b/>
          <w:bCs/>
        </w:rPr>
        <w:t xml:space="preserve">. . . </w:t>
      </w:r>
      <w:r w:rsidR="000D6A02">
        <w:rPr>
          <w:rFonts w:eastAsia="SimSun" w:cs="Arial"/>
          <w:bCs/>
        </w:rPr>
        <w:t xml:space="preserve">the </w:t>
      </w:r>
      <w:r w:rsidRPr="00082479">
        <w:rPr>
          <w:rFonts w:eastAsia="SimSun" w:cs="Arial"/>
          <w:bCs/>
        </w:rPr>
        <w:t>following:</w:t>
      </w:r>
    </w:p>
    <w:p w14:paraId="2F4C7D73"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1.</w:t>
      </w:r>
      <w:r w:rsidR="000D6A02">
        <w:rPr>
          <w:rFonts w:eastAsia="SimSun" w:cs="Arial"/>
          <w:bCs/>
        </w:rPr>
        <w:t xml:space="preserve"> </w:t>
      </w:r>
      <w:r w:rsidR="000D6A02">
        <w:rPr>
          <w:rFonts w:eastAsia="SimSun" w:cs="Arial"/>
          <w:b/>
          <w:bCs/>
        </w:rPr>
        <w:t xml:space="preserve">. . . </w:t>
      </w:r>
    </w:p>
    <w:p w14:paraId="24756EA9"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2.</w:t>
      </w:r>
      <w:r w:rsidR="000D6A02">
        <w:rPr>
          <w:rFonts w:eastAsia="SimSun" w:cs="Arial"/>
          <w:bCs/>
        </w:rPr>
        <w:t xml:space="preserve"> </w:t>
      </w:r>
      <w:r w:rsidR="000D6A02">
        <w:rPr>
          <w:rFonts w:eastAsia="SimSun" w:cs="Arial"/>
          <w:b/>
          <w:bCs/>
        </w:rPr>
        <w:t xml:space="preserve">. . . </w:t>
      </w:r>
    </w:p>
    <w:p w14:paraId="4823009E"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3.</w:t>
      </w:r>
      <w:r w:rsidR="000D6A02">
        <w:rPr>
          <w:rFonts w:eastAsia="SimSun" w:cs="Arial"/>
          <w:bCs/>
        </w:rPr>
        <w:t xml:space="preserve"> </w:t>
      </w:r>
      <w:r w:rsidR="000D6A02">
        <w:rPr>
          <w:rFonts w:eastAsia="SimSun" w:cs="Arial"/>
          <w:b/>
          <w:bCs/>
        </w:rPr>
        <w:t xml:space="preserve">. . . </w:t>
      </w:r>
    </w:p>
    <w:p w14:paraId="01DB8239"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4.</w:t>
      </w:r>
      <w:r w:rsidR="000D6A02">
        <w:rPr>
          <w:rFonts w:eastAsia="SimSun" w:cs="Arial"/>
          <w:b/>
          <w:bCs/>
        </w:rPr>
        <w:t xml:space="preserve"> . . . </w:t>
      </w:r>
    </w:p>
    <w:p w14:paraId="5D1F697F"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5.</w:t>
      </w:r>
      <w:r w:rsidR="000D6A02">
        <w:rPr>
          <w:rFonts w:eastAsia="SimSun" w:cs="Arial"/>
          <w:bCs/>
        </w:rPr>
        <w:t xml:space="preserve"> </w:t>
      </w:r>
      <w:r w:rsidR="000D6A02">
        <w:rPr>
          <w:rFonts w:eastAsia="SimSun" w:cs="Arial"/>
          <w:b/>
          <w:bCs/>
        </w:rPr>
        <w:t xml:space="preserve">. . . </w:t>
      </w:r>
    </w:p>
    <w:p w14:paraId="191F0E19" w14:textId="77777777" w:rsidR="00053D4B" w:rsidRPr="00CB228B" w:rsidRDefault="00053D4B" w:rsidP="00C04BC7">
      <w:pPr>
        <w:autoSpaceDE w:val="0"/>
        <w:autoSpaceDN w:val="0"/>
        <w:adjustRightInd w:val="0"/>
        <w:ind w:left="720"/>
        <w:rPr>
          <w:rFonts w:eastAsia="SimSun" w:cs="Arial"/>
          <w:bCs/>
          <w:u w:val="single"/>
        </w:rPr>
      </w:pPr>
    </w:p>
    <w:p w14:paraId="7D715D12" w14:textId="77777777" w:rsidR="00C04BC7" w:rsidRDefault="00C04BC7" w:rsidP="00C04BC7">
      <w:pPr>
        <w:autoSpaceDE w:val="0"/>
        <w:autoSpaceDN w:val="0"/>
        <w:adjustRightInd w:val="0"/>
        <w:ind w:left="720"/>
        <w:rPr>
          <w:rFonts w:eastAsia="SimSun" w:cs="Arial"/>
          <w:b/>
          <w:bCs/>
        </w:rPr>
      </w:pPr>
    </w:p>
    <w:p w14:paraId="010C6E2F" w14:textId="77777777" w:rsidR="0050548D" w:rsidRDefault="00E23AAB" w:rsidP="00624090">
      <w:pPr>
        <w:autoSpaceDE w:val="0"/>
        <w:autoSpaceDN w:val="0"/>
        <w:adjustRightInd w:val="0"/>
        <w:ind w:left="360"/>
        <w:rPr>
          <w:rFonts w:eastAsia="SimSun" w:cs="Arial"/>
          <w:b/>
          <w:bCs/>
        </w:rPr>
      </w:pPr>
      <w:r w:rsidRPr="00082479">
        <w:rPr>
          <w:rFonts w:eastAsia="SimSun" w:cs="Arial"/>
          <w:b/>
          <w:bCs/>
        </w:rPr>
        <w:t>5.106.5.3.2 Multiple charging space requirements</w:t>
      </w:r>
      <w:r w:rsidR="00C04BC7">
        <w:rPr>
          <w:rFonts w:eastAsia="SimSun" w:cs="Arial"/>
          <w:b/>
          <w:bCs/>
        </w:rPr>
        <w:t xml:space="preserve">. [N] </w:t>
      </w:r>
    </w:p>
    <w:p w14:paraId="54EBB141" w14:textId="77777777" w:rsidR="00E23AAB" w:rsidRPr="00082479" w:rsidRDefault="00E23AAB" w:rsidP="00967849">
      <w:pPr>
        <w:autoSpaceDE w:val="0"/>
        <w:autoSpaceDN w:val="0"/>
        <w:adjustRightInd w:val="0"/>
        <w:ind w:left="360"/>
        <w:rPr>
          <w:rFonts w:eastAsia="SimSun" w:cs="Arial"/>
          <w:bCs/>
        </w:rPr>
      </w:pPr>
      <w:r w:rsidRPr="00082479">
        <w:rPr>
          <w:rFonts w:eastAsia="SimSun" w:cs="Arial"/>
          <w:bCs/>
        </w:rPr>
        <w:t xml:space="preserve">When </w:t>
      </w:r>
      <w:r w:rsidR="004A7AEB" w:rsidRPr="00082479">
        <w:rPr>
          <w:rFonts w:eastAsia="SimSun" w:cs="Arial"/>
          <w:bCs/>
        </w:rPr>
        <w:t>multiple charging spaces</w:t>
      </w:r>
      <w:r w:rsidR="00C04BC7">
        <w:rPr>
          <w:rFonts w:eastAsia="SimSun" w:cs="Arial"/>
          <w:bCs/>
        </w:rPr>
        <w:t xml:space="preserve"> </w:t>
      </w:r>
      <w:r w:rsidR="00C04BC7">
        <w:rPr>
          <w:rFonts w:eastAsia="SimSun" w:cs="Arial"/>
          <w:b/>
          <w:bCs/>
        </w:rPr>
        <w:t xml:space="preserve">. . . </w:t>
      </w:r>
      <w:r w:rsidR="00C04BC7" w:rsidRPr="00A430FC">
        <w:rPr>
          <w:rFonts w:eastAsia="SimSun" w:cs="Arial"/>
          <w:bCs/>
        </w:rPr>
        <w:t>the</w:t>
      </w:r>
      <w:r w:rsidR="00C04BC7">
        <w:rPr>
          <w:rFonts w:eastAsia="SimSun" w:cs="Arial"/>
          <w:b/>
          <w:bCs/>
        </w:rPr>
        <w:t xml:space="preserve"> </w:t>
      </w:r>
      <w:r w:rsidRPr="00082479">
        <w:rPr>
          <w:rFonts w:eastAsia="SimSun" w:cs="Arial"/>
          <w:bCs/>
        </w:rPr>
        <w:t>following:</w:t>
      </w:r>
    </w:p>
    <w:p w14:paraId="70FBDC95"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1.</w:t>
      </w:r>
      <w:r>
        <w:rPr>
          <w:rFonts w:eastAsia="SimSun" w:cs="Arial"/>
          <w:bCs/>
        </w:rPr>
        <w:t xml:space="preserve"> </w:t>
      </w:r>
      <w:r>
        <w:rPr>
          <w:rFonts w:eastAsia="SimSun" w:cs="Arial"/>
          <w:b/>
          <w:bCs/>
        </w:rPr>
        <w:t xml:space="preserve">. . . </w:t>
      </w:r>
    </w:p>
    <w:p w14:paraId="094A40DC"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2.</w:t>
      </w:r>
      <w:r>
        <w:rPr>
          <w:rFonts w:eastAsia="SimSun" w:cs="Arial"/>
          <w:bCs/>
        </w:rPr>
        <w:t xml:space="preserve"> </w:t>
      </w:r>
      <w:r>
        <w:rPr>
          <w:rFonts w:eastAsia="SimSun" w:cs="Arial"/>
          <w:b/>
          <w:bCs/>
        </w:rPr>
        <w:t xml:space="preserve">. . . </w:t>
      </w:r>
    </w:p>
    <w:p w14:paraId="00A6EDCD"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3.</w:t>
      </w:r>
      <w:r>
        <w:rPr>
          <w:rFonts w:eastAsia="SimSun" w:cs="Arial"/>
          <w:bCs/>
        </w:rPr>
        <w:t xml:space="preserve"> </w:t>
      </w:r>
      <w:r>
        <w:rPr>
          <w:rFonts w:eastAsia="SimSun" w:cs="Arial"/>
          <w:b/>
          <w:bCs/>
        </w:rPr>
        <w:t xml:space="preserve">. . . </w:t>
      </w:r>
    </w:p>
    <w:p w14:paraId="1EFD7597"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4.</w:t>
      </w:r>
      <w:r>
        <w:rPr>
          <w:rFonts w:eastAsia="SimSun" w:cs="Arial"/>
          <w:b/>
          <w:bCs/>
        </w:rPr>
        <w:t xml:space="preserve"> . . . </w:t>
      </w:r>
    </w:p>
    <w:p w14:paraId="7C94EA75"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5.</w:t>
      </w:r>
      <w:r>
        <w:rPr>
          <w:rFonts w:eastAsia="SimSun" w:cs="Arial"/>
          <w:bCs/>
        </w:rPr>
        <w:t xml:space="preserve"> </w:t>
      </w:r>
      <w:r>
        <w:rPr>
          <w:rFonts w:eastAsia="SimSun" w:cs="Arial"/>
          <w:b/>
          <w:bCs/>
        </w:rPr>
        <w:t xml:space="preserve">. . . </w:t>
      </w:r>
    </w:p>
    <w:p w14:paraId="77F39694" w14:textId="77777777" w:rsidR="00A57FA6" w:rsidRPr="00CB228B" w:rsidRDefault="00A57FA6" w:rsidP="00A57FA6">
      <w:pPr>
        <w:autoSpaceDE w:val="0"/>
        <w:autoSpaceDN w:val="0"/>
        <w:adjustRightInd w:val="0"/>
        <w:ind w:left="720"/>
        <w:rPr>
          <w:rFonts w:eastAsia="SimSun" w:cs="Arial"/>
          <w:bCs/>
          <w:u w:val="single"/>
        </w:rPr>
      </w:pPr>
    </w:p>
    <w:p w14:paraId="1E1915AB" w14:textId="77777777" w:rsidR="00E23AAB" w:rsidRPr="00082479" w:rsidRDefault="00E23AAB" w:rsidP="00971C2C">
      <w:pPr>
        <w:autoSpaceDE w:val="0"/>
        <w:autoSpaceDN w:val="0"/>
        <w:adjustRightInd w:val="0"/>
        <w:rPr>
          <w:rFonts w:eastAsia="SimSun" w:cs="Arial"/>
          <w:bCs/>
        </w:rPr>
      </w:pPr>
    </w:p>
    <w:p w14:paraId="43611617" w14:textId="77777777" w:rsidR="00053D4B" w:rsidRPr="00082479" w:rsidRDefault="00A430FC" w:rsidP="00053D4B">
      <w:pPr>
        <w:autoSpaceDE w:val="0"/>
        <w:autoSpaceDN w:val="0"/>
        <w:adjustRightInd w:val="0"/>
        <w:rPr>
          <w:rFonts w:eastAsia="SimSun" w:cs="Arial"/>
          <w:bCs/>
        </w:rPr>
      </w:pPr>
      <w:r>
        <w:rPr>
          <w:rFonts w:eastAsia="SimSun" w:cs="Arial"/>
          <w:b/>
          <w:bCs/>
        </w:rPr>
        <w:t xml:space="preserve">. . . </w:t>
      </w:r>
    </w:p>
    <w:bookmarkEnd w:id="1"/>
    <w:bookmarkEnd w:id="2"/>
    <w:p w14:paraId="7E994971" w14:textId="209D3AE9" w:rsidR="001B700B" w:rsidRDefault="00C964DE" w:rsidP="00583A2C">
      <w:pPr>
        <w:autoSpaceDE w:val="0"/>
        <w:autoSpaceDN w:val="0"/>
        <w:adjustRightInd w:val="0"/>
        <w:jc w:val="center"/>
        <w:rPr>
          <w:rFonts w:cs="Arial"/>
          <w:b/>
          <w:color w:val="000000"/>
        </w:rPr>
      </w:pPr>
      <w:r w:rsidRPr="00082479">
        <w:rPr>
          <w:rFonts w:cs="Arial"/>
          <w:b/>
          <w:color w:val="000000"/>
        </w:rPr>
        <w:t>TABLE 5.106.5.3.3</w:t>
      </w:r>
    </w:p>
    <w:p w14:paraId="4AE9C433" w14:textId="0518C447" w:rsidR="00461876" w:rsidRDefault="00461876" w:rsidP="00583A2C">
      <w:pPr>
        <w:autoSpaceDE w:val="0"/>
        <w:autoSpaceDN w:val="0"/>
        <w:adjustRightInd w:val="0"/>
        <w:jc w:val="center"/>
        <w:rPr>
          <w:rFonts w:cs="Arial"/>
          <w:b/>
          <w:color w:val="000000"/>
        </w:rPr>
      </w:pPr>
    </w:p>
    <w:tbl>
      <w:tblPr>
        <w:tblStyle w:val="TableGrid1"/>
        <w:tblW w:w="0" w:type="auto"/>
        <w:tblLook w:val="04A0" w:firstRow="1" w:lastRow="0" w:firstColumn="1" w:lastColumn="0" w:noHBand="0" w:noVBand="1"/>
        <w:tblDescription w:val="table"/>
      </w:tblPr>
      <w:tblGrid>
        <w:gridCol w:w="3960"/>
        <w:gridCol w:w="4050"/>
      </w:tblGrid>
      <w:tr w:rsidR="00461876" w:rsidRPr="002878A7" w14:paraId="69957489" w14:textId="77777777" w:rsidTr="00233A43">
        <w:trPr>
          <w:trHeight w:val="247"/>
          <w:tblHeader/>
        </w:trPr>
        <w:tc>
          <w:tcPr>
            <w:tcW w:w="3960" w:type="dxa"/>
          </w:tcPr>
          <w:p w14:paraId="6FC6DA8B" w14:textId="77777777" w:rsidR="00461876" w:rsidRPr="002878A7" w:rsidRDefault="00461876" w:rsidP="00233A43">
            <w:pPr>
              <w:jc w:val="center"/>
              <w:rPr>
                <w:rFonts w:cs="Arial"/>
                <w:b/>
                <w:color w:val="000000"/>
              </w:rPr>
            </w:pPr>
            <w:r w:rsidRPr="002878A7">
              <w:rPr>
                <w:rFonts w:cs="Arial"/>
                <w:b/>
                <w:color w:val="000000"/>
              </w:rPr>
              <w:t xml:space="preserve">TOTAL NUMBER OF </w:t>
            </w:r>
          </w:p>
          <w:p w14:paraId="3ABB07E6" w14:textId="77777777" w:rsidR="00461876" w:rsidRPr="002878A7" w:rsidRDefault="00461876" w:rsidP="00233A43">
            <w:pPr>
              <w:jc w:val="center"/>
              <w:rPr>
                <w:rFonts w:cs="Arial"/>
                <w:b/>
                <w:color w:val="000000"/>
              </w:rPr>
            </w:pPr>
            <w:r w:rsidRPr="002878A7">
              <w:rPr>
                <w:rFonts w:cs="Arial"/>
                <w:b/>
                <w:color w:val="000000"/>
              </w:rPr>
              <w:t>ACTUAL PARKING SPACES</w:t>
            </w:r>
          </w:p>
        </w:tc>
        <w:tc>
          <w:tcPr>
            <w:tcW w:w="4050" w:type="dxa"/>
          </w:tcPr>
          <w:p w14:paraId="342AD0B5" w14:textId="77777777" w:rsidR="00461876" w:rsidRPr="002878A7" w:rsidRDefault="00461876" w:rsidP="00233A43">
            <w:pPr>
              <w:jc w:val="center"/>
              <w:rPr>
                <w:rFonts w:cs="Arial"/>
                <w:b/>
                <w:color w:val="000000"/>
              </w:rPr>
            </w:pPr>
            <w:r w:rsidRPr="002878A7">
              <w:rPr>
                <w:rFonts w:cs="Arial"/>
                <w:b/>
                <w:color w:val="000000"/>
              </w:rPr>
              <w:t>NUMBER OF REQUIRED EV CHARGING SPACES</w:t>
            </w:r>
          </w:p>
        </w:tc>
      </w:tr>
      <w:tr w:rsidR="00461876" w:rsidRPr="002878A7" w14:paraId="231BA298" w14:textId="77777777" w:rsidTr="00233A43">
        <w:trPr>
          <w:trHeight w:val="247"/>
        </w:trPr>
        <w:tc>
          <w:tcPr>
            <w:tcW w:w="3960" w:type="dxa"/>
          </w:tcPr>
          <w:p w14:paraId="25A4A23C" w14:textId="77777777" w:rsidR="00461876" w:rsidRPr="002878A7" w:rsidRDefault="00461876" w:rsidP="00233A43">
            <w:pPr>
              <w:jc w:val="center"/>
              <w:rPr>
                <w:rFonts w:cs="Arial"/>
                <w:color w:val="000000"/>
              </w:rPr>
            </w:pPr>
            <w:r w:rsidRPr="002878A7">
              <w:rPr>
                <w:rFonts w:cs="Arial"/>
                <w:color w:val="000000"/>
              </w:rPr>
              <w:t>0-9</w:t>
            </w:r>
          </w:p>
        </w:tc>
        <w:tc>
          <w:tcPr>
            <w:tcW w:w="4050" w:type="dxa"/>
          </w:tcPr>
          <w:p w14:paraId="37F091F1" w14:textId="77777777" w:rsidR="00461876" w:rsidRPr="002878A7" w:rsidRDefault="00461876" w:rsidP="00233A43">
            <w:pPr>
              <w:jc w:val="center"/>
              <w:rPr>
                <w:rFonts w:cs="Arial"/>
                <w:color w:val="000000"/>
              </w:rPr>
            </w:pPr>
            <w:r w:rsidRPr="002878A7">
              <w:rPr>
                <w:rFonts w:cs="Arial"/>
                <w:color w:val="000000"/>
              </w:rPr>
              <w:t>0</w:t>
            </w:r>
          </w:p>
        </w:tc>
      </w:tr>
      <w:tr w:rsidR="00461876" w:rsidRPr="002878A7" w14:paraId="7D6A0CC2" w14:textId="77777777" w:rsidTr="00233A43">
        <w:trPr>
          <w:trHeight w:val="377"/>
        </w:trPr>
        <w:tc>
          <w:tcPr>
            <w:tcW w:w="3960" w:type="dxa"/>
          </w:tcPr>
          <w:p w14:paraId="7639651A" w14:textId="77777777" w:rsidR="00461876" w:rsidRPr="002878A7" w:rsidRDefault="00461876" w:rsidP="00233A43">
            <w:pPr>
              <w:jc w:val="center"/>
              <w:rPr>
                <w:rFonts w:cs="Arial"/>
                <w:color w:val="000000"/>
              </w:rPr>
            </w:pPr>
            <w:r w:rsidRPr="002878A7">
              <w:rPr>
                <w:rFonts w:cs="Arial"/>
                <w:color w:val="000000"/>
              </w:rPr>
              <w:t>10-25</w:t>
            </w:r>
          </w:p>
        </w:tc>
        <w:tc>
          <w:tcPr>
            <w:tcW w:w="4050" w:type="dxa"/>
          </w:tcPr>
          <w:p w14:paraId="12E88604" w14:textId="471A134D" w:rsidR="00461876" w:rsidRPr="00461876" w:rsidRDefault="00461876" w:rsidP="00233A43">
            <w:pPr>
              <w:jc w:val="center"/>
              <w:rPr>
                <w:rFonts w:cs="Arial"/>
                <w:strike/>
                <w:color w:val="000000"/>
              </w:rPr>
            </w:pPr>
            <w:r w:rsidRPr="00461876">
              <w:rPr>
                <w:rFonts w:cs="Arial"/>
                <w:color w:val="000000"/>
              </w:rPr>
              <w:t>2</w:t>
            </w:r>
          </w:p>
        </w:tc>
      </w:tr>
      <w:tr w:rsidR="00461876" w:rsidRPr="002878A7" w14:paraId="2065A282" w14:textId="77777777" w:rsidTr="00233A43">
        <w:trPr>
          <w:trHeight w:val="368"/>
        </w:trPr>
        <w:tc>
          <w:tcPr>
            <w:tcW w:w="3960" w:type="dxa"/>
          </w:tcPr>
          <w:p w14:paraId="68786F5A" w14:textId="77777777" w:rsidR="00461876" w:rsidRPr="002878A7" w:rsidRDefault="00461876" w:rsidP="00233A43">
            <w:pPr>
              <w:jc w:val="center"/>
              <w:rPr>
                <w:rFonts w:cs="Arial"/>
                <w:color w:val="000000"/>
              </w:rPr>
            </w:pPr>
            <w:r w:rsidRPr="002878A7">
              <w:rPr>
                <w:rFonts w:cs="Arial"/>
                <w:color w:val="000000"/>
              </w:rPr>
              <w:t>26-50</w:t>
            </w:r>
          </w:p>
        </w:tc>
        <w:tc>
          <w:tcPr>
            <w:tcW w:w="4050" w:type="dxa"/>
          </w:tcPr>
          <w:p w14:paraId="6F54B9B7" w14:textId="5C4BA291" w:rsidR="00461876" w:rsidRPr="00461876" w:rsidRDefault="00461876" w:rsidP="00233A43">
            <w:pPr>
              <w:jc w:val="center"/>
              <w:rPr>
                <w:rFonts w:cs="Arial"/>
                <w:strike/>
                <w:color w:val="000000"/>
              </w:rPr>
            </w:pPr>
            <w:r w:rsidRPr="00461876">
              <w:rPr>
                <w:rFonts w:cs="Arial"/>
                <w:color w:val="000000"/>
              </w:rPr>
              <w:t>4</w:t>
            </w:r>
          </w:p>
        </w:tc>
      </w:tr>
      <w:tr w:rsidR="00461876" w:rsidRPr="002878A7" w14:paraId="568B622E" w14:textId="77777777" w:rsidTr="00233A43">
        <w:trPr>
          <w:trHeight w:val="350"/>
        </w:trPr>
        <w:tc>
          <w:tcPr>
            <w:tcW w:w="3960" w:type="dxa"/>
          </w:tcPr>
          <w:p w14:paraId="761826F8" w14:textId="77777777" w:rsidR="00461876" w:rsidRPr="002878A7" w:rsidRDefault="00461876" w:rsidP="00233A43">
            <w:pPr>
              <w:jc w:val="center"/>
              <w:rPr>
                <w:rFonts w:cs="Arial"/>
                <w:color w:val="000000"/>
              </w:rPr>
            </w:pPr>
            <w:r w:rsidRPr="002878A7">
              <w:rPr>
                <w:rFonts w:cs="Arial"/>
                <w:color w:val="000000"/>
              </w:rPr>
              <w:t>51-75</w:t>
            </w:r>
          </w:p>
        </w:tc>
        <w:tc>
          <w:tcPr>
            <w:tcW w:w="4050" w:type="dxa"/>
          </w:tcPr>
          <w:p w14:paraId="179BFED1" w14:textId="0350729C" w:rsidR="00461876" w:rsidRPr="00461876" w:rsidRDefault="00461876" w:rsidP="00233A43">
            <w:pPr>
              <w:jc w:val="center"/>
              <w:rPr>
                <w:rFonts w:cs="Arial"/>
                <w:strike/>
                <w:color w:val="000000"/>
              </w:rPr>
            </w:pPr>
            <w:r w:rsidRPr="00461876">
              <w:rPr>
                <w:rFonts w:cs="Arial"/>
                <w:color w:val="000000"/>
              </w:rPr>
              <w:t xml:space="preserve">7 </w:t>
            </w:r>
          </w:p>
        </w:tc>
      </w:tr>
      <w:tr w:rsidR="00461876" w:rsidRPr="002878A7" w14:paraId="3E526A41" w14:textId="77777777" w:rsidTr="00233A43">
        <w:trPr>
          <w:trHeight w:val="422"/>
        </w:trPr>
        <w:tc>
          <w:tcPr>
            <w:tcW w:w="3960" w:type="dxa"/>
          </w:tcPr>
          <w:p w14:paraId="3C4258C6" w14:textId="77777777" w:rsidR="00461876" w:rsidRPr="002878A7" w:rsidRDefault="00461876" w:rsidP="00233A43">
            <w:pPr>
              <w:jc w:val="center"/>
              <w:rPr>
                <w:rFonts w:cs="Arial"/>
                <w:color w:val="000000"/>
              </w:rPr>
            </w:pPr>
            <w:r w:rsidRPr="002878A7">
              <w:rPr>
                <w:rFonts w:cs="Arial"/>
                <w:color w:val="000000"/>
              </w:rPr>
              <w:t>76-100</w:t>
            </w:r>
          </w:p>
        </w:tc>
        <w:tc>
          <w:tcPr>
            <w:tcW w:w="4050" w:type="dxa"/>
          </w:tcPr>
          <w:p w14:paraId="58548A81" w14:textId="322B6C60" w:rsidR="00461876" w:rsidRPr="00461876" w:rsidRDefault="00461876" w:rsidP="00233A43">
            <w:pPr>
              <w:jc w:val="center"/>
              <w:rPr>
                <w:rFonts w:cs="Arial"/>
                <w:strike/>
                <w:color w:val="000000"/>
              </w:rPr>
            </w:pPr>
            <w:r w:rsidRPr="00461876">
              <w:rPr>
                <w:rFonts w:cs="Arial"/>
                <w:color w:val="000000"/>
              </w:rPr>
              <w:t>9</w:t>
            </w:r>
          </w:p>
        </w:tc>
      </w:tr>
      <w:tr w:rsidR="00461876" w:rsidRPr="002878A7" w14:paraId="35D84469" w14:textId="77777777" w:rsidTr="00233A43">
        <w:trPr>
          <w:trHeight w:val="323"/>
        </w:trPr>
        <w:tc>
          <w:tcPr>
            <w:tcW w:w="3960" w:type="dxa"/>
          </w:tcPr>
          <w:p w14:paraId="7AC30EF6" w14:textId="77777777" w:rsidR="00461876" w:rsidRPr="002878A7" w:rsidRDefault="00461876" w:rsidP="00233A43">
            <w:pPr>
              <w:jc w:val="center"/>
              <w:rPr>
                <w:rFonts w:cs="Arial"/>
                <w:color w:val="000000"/>
              </w:rPr>
            </w:pPr>
            <w:r w:rsidRPr="002878A7">
              <w:rPr>
                <w:rFonts w:cs="Arial"/>
                <w:color w:val="000000"/>
              </w:rPr>
              <w:t>101-150</w:t>
            </w:r>
          </w:p>
        </w:tc>
        <w:tc>
          <w:tcPr>
            <w:tcW w:w="4050" w:type="dxa"/>
          </w:tcPr>
          <w:p w14:paraId="2821DAEB" w14:textId="3CD2B87B" w:rsidR="00461876" w:rsidRPr="00461876" w:rsidRDefault="00461876" w:rsidP="00233A43">
            <w:pPr>
              <w:jc w:val="center"/>
              <w:rPr>
                <w:rFonts w:cs="Arial"/>
                <w:strike/>
                <w:color w:val="000000"/>
              </w:rPr>
            </w:pPr>
            <w:r w:rsidRPr="00461876">
              <w:rPr>
                <w:rFonts w:cs="Arial"/>
                <w:color w:val="000000"/>
              </w:rPr>
              <w:t>13</w:t>
            </w:r>
          </w:p>
        </w:tc>
      </w:tr>
      <w:tr w:rsidR="00461876" w:rsidRPr="002878A7" w14:paraId="7A2FBEE5" w14:textId="77777777" w:rsidTr="00233A43">
        <w:trPr>
          <w:trHeight w:val="395"/>
        </w:trPr>
        <w:tc>
          <w:tcPr>
            <w:tcW w:w="3960" w:type="dxa"/>
          </w:tcPr>
          <w:p w14:paraId="44C53E38" w14:textId="77777777" w:rsidR="00461876" w:rsidRPr="002878A7" w:rsidRDefault="00461876" w:rsidP="00233A43">
            <w:pPr>
              <w:jc w:val="center"/>
              <w:rPr>
                <w:rFonts w:cs="Arial"/>
                <w:color w:val="000000"/>
              </w:rPr>
            </w:pPr>
            <w:r w:rsidRPr="002878A7">
              <w:rPr>
                <w:rFonts w:cs="Arial"/>
                <w:color w:val="000000"/>
              </w:rPr>
              <w:t>151-200</w:t>
            </w:r>
          </w:p>
        </w:tc>
        <w:tc>
          <w:tcPr>
            <w:tcW w:w="4050" w:type="dxa"/>
          </w:tcPr>
          <w:p w14:paraId="5DF0CE85" w14:textId="6F7832AA" w:rsidR="00461876" w:rsidRPr="00461876" w:rsidRDefault="00461876" w:rsidP="00233A43">
            <w:pPr>
              <w:jc w:val="center"/>
              <w:rPr>
                <w:rFonts w:cs="Arial"/>
                <w:strike/>
                <w:color w:val="000000"/>
              </w:rPr>
            </w:pPr>
            <w:r w:rsidRPr="00461876">
              <w:rPr>
                <w:rFonts w:cs="Arial"/>
                <w:color w:val="000000"/>
              </w:rPr>
              <w:t xml:space="preserve"> 18</w:t>
            </w:r>
          </w:p>
        </w:tc>
      </w:tr>
      <w:tr w:rsidR="00461876" w:rsidRPr="002878A7" w14:paraId="48EA5ADC" w14:textId="77777777" w:rsidTr="00233A43">
        <w:trPr>
          <w:trHeight w:val="377"/>
        </w:trPr>
        <w:tc>
          <w:tcPr>
            <w:tcW w:w="3960" w:type="dxa"/>
          </w:tcPr>
          <w:p w14:paraId="14BB5DB1" w14:textId="77777777" w:rsidR="00461876" w:rsidRPr="002878A7" w:rsidRDefault="00461876" w:rsidP="00233A43">
            <w:pPr>
              <w:jc w:val="center"/>
              <w:rPr>
                <w:rFonts w:cs="Arial"/>
                <w:color w:val="000000"/>
              </w:rPr>
            </w:pPr>
            <w:r w:rsidRPr="002878A7">
              <w:rPr>
                <w:rFonts w:cs="Arial"/>
                <w:color w:val="000000"/>
              </w:rPr>
              <w:t>201 and over</w:t>
            </w:r>
          </w:p>
        </w:tc>
        <w:tc>
          <w:tcPr>
            <w:tcW w:w="4050" w:type="dxa"/>
          </w:tcPr>
          <w:p w14:paraId="73060492" w14:textId="1E4BC54C" w:rsidR="00461876" w:rsidRPr="00461876" w:rsidRDefault="00461876" w:rsidP="00233A43">
            <w:pPr>
              <w:jc w:val="center"/>
              <w:rPr>
                <w:rFonts w:cs="Arial"/>
                <w:color w:val="000000"/>
              </w:rPr>
            </w:pPr>
            <w:r w:rsidRPr="00461876">
              <w:rPr>
                <w:rFonts w:cs="Arial"/>
                <w:color w:val="000000"/>
              </w:rPr>
              <w:t xml:space="preserve"> 10 percent of total</w:t>
            </w:r>
            <w:r w:rsidRPr="00461876">
              <w:rPr>
                <w:rFonts w:cs="Arial"/>
                <w:color w:val="000000"/>
                <w:vertAlign w:val="superscript"/>
              </w:rPr>
              <w:t>1</w:t>
            </w:r>
          </w:p>
        </w:tc>
      </w:tr>
    </w:tbl>
    <w:p w14:paraId="59A37321" w14:textId="77777777" w:rsidR="001B700B" w:rsidRPr="00082479" w:rsidRDefault="001B700B" w:rsidP="009421B1">
      <w:pPr>
        <w:rPr>
          <w:rFonts w:cs="Arial"/>
          <w:color w:val="000000"/>
        </w:rPr>
      </w:pPr>
    </w:p>
    <w:p w14:paraId="7DC643C3" w14:textId="77777777" w:rsidR="00265C59" w:rsidRPr="00A430FC" w:rsidRDefault="00265C59" w:rsidP="00B12BED">
      <w:pPr>
        <w:numPr>
          <w:ilvl w:val="0"/>
          <w:numId w:val="13"/>
        </w:numPr>
        <w:spacing w:before="120"/>
        <w:rPr>
          <w:rFonts w:cs="Arial"/>
        </w:rPr>
      </w:pPr>
      <w:r w:rsidRPr="00A430FC">
        <w:rPr>
          <w:rFonts w:cs="Arial"/>
          <w:color w:val="000000"/>
        </w:rPr>
        <w:t>Calculation for spaces shall be rounded up to the nearest whole number.</w:t>
      </w:r>
    </w:p>
    <w:p w14:paraId="3A2284A7" w14:textId="77777777" w:rsidR="0007345A" w:rsidRPr="00A430FC" w:rsidRDefault="0007345A" w:rsidP="008A2852">
      <w:pPr>
        <w:rPr>
          <w:rFonts w:cs="Arial"/>
          <w:i/>
          <w:color w:val="FF0000"/>
        </w:rPr>
      </w:pPr>
    </w:p>
    <w:p w14:paraId="5947DB66" w14:textId="77777777" w:rsidR="007B5343" w:rsidRDefault="007946FE" w:rsidP="008A2852">
      <w:pPr>
        <w:rPr>
          <w:rFonts w:cs="Arial"/>
          <w:b/>
          <w:color w:val="000000"/>
        </w:rPr>
      </w:pPr>
      <w:r>
        <w:rPr>
          <w:rFonts w:cs="Arial"/>
          <w:b/>
          <w:color w:val="000000"/>
        </w:rPr>
        <w:t>. . .</w:t>
      </w:r>
    </w:p>
    <w:p w14:paraId="34B8C500" w14:textId="030F3E55" w:rsidR="007946FE" w:rsidRDefault="007946FE" w:rsidP="008A2852">
      <w:pPr>
        <w:rPr>
          <w:rFonts w:cs="Arial"/>
          <w:b/>
          <w:color w:val="000000"/>
        </w:rPr>
      </w:pPr>
    </w:p>
    <w:p w14:paraId="7AD6FD18" w14:textId="24B88718" w:rsidR="00634980" w:rsidRDefault="00634980" w:rsidP="008A2852">
      <w:pPr>
        <w:rPr>
          <w:rFonts w:cs="Arial"/>
          <w:b/>
          <w:color w:val="000000"/>
        </w:rPr>
      </w:pPr>
    </w:p>
    <w:p w14:paraId="56237A8F" w14:textId="77777777" w:rsidR="00634980" w:rsidRPr="00A430FC" w:rsidRDefault="00634980" w:rsidP="008A2852">
      <w:pPr>
        <w:rPr>
          <w:rFonts w:cs="Arial"/>
          <w:b/>
          <w:color w:val="000000"/>
        </w:rPr>
      </w:pPr>
    </w:p>
    <w:p w14:paraId="2F6A6EE3" w14:textId="77777777" w:rsidR="00053D4B" w:rsidRPr="007946FE" w:rsidRDefault="00053D4B" w:rsidP="00967849">
      <w:pPr>
        <w:ind w:left="360"/>
        <w:rPr>
          <w:rFonts w:cs="Arial"/>
          <w:color w:val="000000"/>
        </w:rPr>
      </w:pPr>
      <w:r w:rsidRPr="00A430FC">
        <w:rPr>
          <w:rFonts w:cs="Arial"/>
          <w:b/>
          <w:color w:val="000000"/>
        </w:rPr>
        <w:t>5.106.5.3.5</w:t>
      </w:r>
      <w:r w:rsidR="007946FE">
        <w:rPr>
          <w:rFonts w:cs="Arial"/>
          <w:b/>
          <w:color w:val="000000"/>
        </w:rPr>
        <w:t xml:space="preserve"> [N] </w:t>
      </w:r>
      <w:r w:rsidRPr="00FA2DBE">
        <w:rPr>
          <w:rFonts w:cs="Arial"/>
          <w:b/>
          <w:color w:val="000000"/>
        </w:rPr>
        <w:t>Future charging space</w:t>
      </w:r>
      <w:r w:rsidR="003F7BF9" w:rsidRPr="00FA2DBE">
        <w:rPr>
          <w:rFonts w:cs="Arial"/>
          <w:b/>
          <w:color w:val="000000"/>
        </w:rPr>
        <w:t>s</w:t>
      </w:r>
      <w:r w:rsidR="007E0950" w:rsidRPr="00FA2DBE">
        <w:rPr>
          <w:rFonts w:cs="Arial"/>
          <w:b/>
          <w:color w:val="000000"/>
        </w:rPr>
        <w:t>.</w:t>
      </w:r>
    </w:p>
    <w:p w14:paraId="212CC4CC" w14:textId="77777777" w:rsidR="00053D4B" w:rsidRPr="00A430FC" w:rsidRDefault="00053D4B" w:rsidP="00967849">
      <w:pPr>
        <w:ind w:left="360"/>
        <w:rPr>
          <w:rFonts w:cs="Arial"/>
          <w:color w:val="000000"/>
        </w:rPr>
      </w:pPr>
      <w:r w:rsidRPr="00A430FC">
        <w:rPr>
          <w:rFonts w:cs="Arial"/>
          <w:color w:val="000000"/>
        </w:rPr>
        <w:t xml:space="preserve">Future charging spaces qualify </w:t>
      </w:r>
      <w:r w:rsidR="0015575A" w:rsidRPr="00A430FC">
        <w:rPr>
          <w:rFonts w:cs="Arial"/>
          <w:color w:val="000000"/>
        </w:rPr>
        <w:t>as</w:t>
      </w:r>
      <w:r w:rsidR="007872EE">
        <w:rPr>
          <w:rFonts w:cs="Arial"/>
          <w:color w:val="000000"/>
        </w:rPr>
        <w:t xml:space="preserve"> </w:t>
      </w:r>
      <w:r w:rsidR="007872EE">
        <w:rPr>
          <w:rFonts w:cs="Arial"/>
          <w:b/>
          <w:color w:val="000000"/>
        </w:rPr>
        <w:t xml:space="preserve">. . . </w:t>
      </w:r>
      <w:r w:rsidR="0015575A" w:rsidRPr="00A430FC">
        <w:rPr>
          <w:rFonts w:cs="Arial"/>
          <w:color w:val="000000"/>
        </w:rPr>
        <w:t>clean air vehicles.</w:t>
      </w:r>
    </w:p>
    <w:p w14:paraId="4D8680C7" w14:textId="77777777" w:rsidR="0015575A" w:rsidRPr="00A430FC" w:rsidRDefault="0015575A" w:rsidP="00967849">
      <w:pPr>
        <w:ind w:left="360"/>
        <w:rPr>
          <w:rFonts w:cs="Arial"/>
          <w:color w:val="000000"/>
        </w:rPr>
      </w:pPr>
    </w:p>
    <w:p w14:paraId="3C0734C0" w14:textId="77777777" w:rsidR="0015575A" w:rsidRPr="00D81E84" w:rsidRDefault="005B63CE" w:rsidP="00967849">
      <w:pPr>
        <w:ind w:left="360"/>
        <w:rPr>
          <w:rFonts w:cs="Arial"/>
          <w:color w:val="000000"/>
        </w:rPr>
      </w:pPr>
      <w:r w:rsidRPr="00D81E84">
        <w:rPr>
          <w:rFonts w:cs="Arial"/>
          <w:color w:val="000000"/>
        </w:rPr>
        <w:t>Note: Future e</w:t>
      </w:r>
      <w:r w:rsidR="0015575A" w:rsidRPr="00D81E84">
        <w:rPr>
          <w:rFonts w:cs="Arial"/>
          <w:color w:val="000000"/>
        </w:rPr>
        <w:t>lectric vehicle charging spaces shall be considered parking spaces and shall count for the total parking spaces required by the local enforcing agencies.</w:t>
      </w:r>
    </w:p>
    <w:p w14:paraId="7B7F7726" w14:textId="77777777" w:rsidR="008A2852" w:rsidRPr="00A430FC" w:rsidRDefault="008A2852" w:rsidP="007946FE">
      <w:pPr>
        <w:ind w:left="720"/>
        <w:jc w:val="center"/>
        <w:rPr>
          <w:rFonts w:cs="Arial"/>
          <w:b/>
          <w:color w:val="000000"/>
        </w:rPr>
      </w:pPr>
    </w:p>
    <w:p w14:paraId="37C08729" w14:textId="46F32A7D" w:rsidR="008C34AE" w:rsidRDefault="003F7BF9" w:rsidP="00082479">
      <w:pPr>
        <w:rPr>
          <w:rFonts w:cs="Arial"/>
          <w:b/>
          <w:color w:val="000000"/>
        </w:rPr>
      </w:pPr>
      <w:r>
        <w:rPr>
          <w:rFonts w:cs="Arial"/>
          <w:b/>
          <w:color w:val="000000"/>
        </w:rPr>
        <w:t>. . .</w:t>
      </w:r>
    </w:p>
    <w:p w14:paraId="640E74AF" w14:textId="199F528A" w:rsidR="008C34AE" w:rsidRDefault="008C34AE" w:rsidP="00082479">
      <w:pPr>
        <w:rPr>
          <w:rFonts w:cs="Arial"/>
          <w:b/>
          <w:color w:val="000000"/>
        </w:rPr>
      </w:pPr>
    </w:p>
    <w:p w14:paraId="46C8C99A" w14:textId="45A4906F" w:rsidR="00116AA1" w:rsidRPr="00533110" w:rsidRDefault="0095562E" w:rsidP="00F75272">
      <w:pPr>
        <w:pStyle w:val="Heading2"/>
        <w:ind w:left="0"/>
        <w:rPr>
          <w:rFonts w:ascii="Arial" w:hAnsi="Arial" w:cs="Arial"/>
          <w:sz w:val="24"/>
          <w:szCs w:val="24"/>
        </w:rPr>
      </w:pPr>
      <w:r w:rsidRPr="00533110">
        <w:rPr>
          <w:rFonts w:ascii="Arial" w:hAnsi="Arial" w:cs="Arial"/>
          <w:sz w:val="24"/>
          <w:szCs w:val="24"/>
        </w:rPr>
        <w:t xml:space="preserve">ITEM </w:t>
      </w:r>
      <w:r w:rsidR="005C5E7C" w:rsidRPr="00533110">
        <w:rPr>
          <w:rFonts w:ascii="Arial" w:hAnsi="Arial" w:cs="Arial"/>
          <w:sz w:val="24"/>
          <w:szCs w:val="24"/>
        </w:rPr>
        <w:t>3</w:t>
      </w:r>
      <w:r w:rsidRPr="00533110">
        <w:rPr>
          <w:rFonts w:ascii="Arial" w:hAnsi="Arial" w:cs="Arial"/>
          <w:sz w:val="24"/>
          <w:szCs w:val="24"/>
        </w:rPr>
        <w:t>B-</w:t>
      </w:r>
      <w:r w:rsidR="001F2A39" w:rsidRPr="00533110">
        <w:rPr>
          <w:rFonts w:ascii="Arial" w:hAnsi="Arial" w:cs="Arial"/>
          <w:sz w:val="24"/>
          <w:szCs w:val="24"/>
        </w:rPr>
        <w:t>NOT ADOPTED BY DSA</w:t>
      </w:r>
    </w:p>
    <w:p w14:paraId="09D34421" w14:textId="2C39F716" w:rsidR="008C34AE" w:rsidRPr="00533110" w:rsidRDefault="008C34AE" w:rsidP="00F75272">
      <w:pPr>
        <w:pStyle w:val="Heading2"/>
        <w:ind w:left="0"/>
        <w:rPr>
          <w:rFonts w:ascii="Arial" w:hAnsi="Arial" w:cs="Arial"/>
          <w:sz w:val="24"/>
          <w:szCs w:val="24"/>
        </w:rPr>
      </w:pPr>
      <w:r w:rsidRPr="00533110">
        <w:rPr>
          <w:rFonts w:ascii="Arial" w:hAnsi="Arial" w:cs="Arial"/>
          <w:sz w:val="24"/>
          <w:szCs w:val="24"/>
        </w:rPr>
        <w:lastRenderedPageBreak/>
        <w:t>A5.106.5.3 Electric Vehicle (EV) charging</w:t>
      </w:r>
    </w:p>
    <w:p w14:paraId="08E963BC" w14:textId="77777777" w:rsidR="008C34AE" w:rsidRPr="00533110" w:rsidRDefault="008C34AE" w:rsidP="00F75272">
      <w:pPr>
        <w:pStyle w:val="Heading2"/>
        <w:ind w:left="0"/>
        <w:rPr>
          <w:rFonts w:ascii="Arial" w:hAnsi="Arial" w:cs="Arial"/>
          <w:sz w:val="24"/>
          <w:szCs w:val="24"/>
        </w:rPr>
      </w:pPr>
      <w:r w:rsidRPr="00533110">
        <w:rPr>
          <w:rFonts w:ascii="Arial" w:hAnsi="Arial" w:cs="Arial"/>
          <w:sz w:val="24"/>
          <w:szCs w:val="24"/>
        </w:rPr>
        <w:t>(Voluntary Measures)</w:t>
      </w:r>
    </w:p>
    <w:p w14:paraId="0A2AF062" w14:textId="77777777" w:rsidR="008C684D" w:rsidRDefault="008C684D" w:rsidP="008C684D">
      <w:pPr>
        <w:spacing w:line="216" w:lineRule="auto"/>
        <w:ind w:left="360"/>
        <w:rPr>
          <w:rFonts w:cs="Arial"/>
          <w:b/>
        </w:rPr>
      </w:pPr>
    </w:p>
    <w:p w14:paraId="56D3EA6F" w14:textId="1AD57660" w:rsidR="008C684D" w:rsidRPr="00082479" w:rsidRDefault="008C684D" w:rsidP="00F75272">
      <w:pPr>
        <w:spacing w:line="216" w:lineRule="auto"/>
        <w:rPr>
          <w:rFonts w:cs="Arial"/>
          <w:b/>
        </w:rPr>
      </w:pPr>
      <w:r w:rsidRPr="00082479">
        <w:rPr>
          <w:rFonts w:cs="Arial"/>
          <w:b/>
        </w:rPr>
        <w:t>Statement of specific purpose, problem, rationale and benefits:</w:t>
      </w:r>
    </w:p>
    <w:p w14:paraId="102E405E" w14:textId="59680D85" w:rsidR="008C34AE" w:rsidRDefault="008C34AE" w:rsidP="00082479">
      <w:pPr>
        <w:rPr>
          <w:rFonts w:cs="Arial"/>
          <w:b/>
          <w:color w:val="000000"/>
        </w:rPr>
      </w:pPr>
    </w:p>
    <w:p w14:paraId="56CF4982" w14:textId="084FE4C6" w:rsidR="008C34AE" w:rsidRPr="00222E81" w:rsidRDefault="008C34AE" w:rsidP="00D9436E">
      <w:r w:rsidRPr="00222E81">
        <w:t>BSC</w:t>
      </w:r>
      <w:r w:rsidR="00727B87">
        <w:t>-CG</w:t>
      </w:r>
      <w:r w:rsidRPr="00222E81">
        <w:t xml:space="preserve"> proposes to include a Tier 1 requirement for level 2 chargers in 3% of total new parking spaces in an effort to further advance the potential for EV preparedness.  The Tier 1 charger provision incorporates a sliding scale similar to the EV Capable space requirements. There is no fiscal effect since Tier 1 is a voluntary measure available for adoption by local agencies.  However, if all local governments adopted Tier 1 as mandatory, it may add 0.2-0.3% to total costs for nonresidential new construction beyond the current Tier 1 provisions.  An estimated incremental GHG reduction of 627,000 to 731,000 metric tons CO</w:t>
      </w:r>
      <w:r w:rsidRPr="00222E81">
        <w:rPr>
          <w:vertAlign w:val="subscript"/>
        </w:rPr>
        <w:t>2</w:t>
      </w:r>
      <w:r w:rsidRPr="00222E81">
        <w:t xml:space="preserve">e emissions could be achieved annually by 2030 through the new Tier 1 provisions. </w:t>
      </w:r>
    </w:p>
    <w:p w14:paraId="6943F556" w14:textId="77777777" w:rsidR="008C34AE" w:rsidRPr="00222E81" w:rsidRDefault="008C34AE" w:rsidP="008C34AE"/>
    <w:p w14:paraId="6F27E0C5" w14:textId="798CB5EF" w:rsidR="008C34AE" w:rsidRPr="00222E81" w:rsidRDefault="008C34AE" w:rsidP="008C34AE">
      <w:r w:rsidRPr="00222E81">
        <w:rPr>
          <w:bCs/>
        </w:rPr>
        <w:t>C</w:t>
      </w:r>
      <w:r w:rsidRPr="00222E81">
        <w:t>BSC</w:t>
      </w:r>
      <w:r w:rsidR="00197C37">
        <w:t>-CG</w:t>
      </w:r>
      <w:r w:rsidRPr="00222E81">
        <w:t xml:space="preserve"> proposes to include a Tier 2 requirement for level 2 chargers in 5% of total new parking spaces in an effort to further advance the potential for EV preparedness.  The Tier 2 charger provision incorporates a sliding scale similar to the EV Capable space requirements. There is no fiscal effect since Tier 2 is a voluntary measure available for adoption by local agencies.  However, if all local governments adopted Tier 2 as mandatory, it may add 0.3-0.45% to total costs for nonresidential new construction beyond the current Tier 2 provisions.  An estimated incremental GHG reduction of 1,045,000 to 1,219,000 metric tons CO</w:t>
      </w:r>
      <w:r w:rsidRPr="00222E81">
        <w:rPr>
          <w:vertAlign w:val="subscript"/>
        </w:rPr>
        <w:t>2</w:t>
      </w:r>
      <w:r w:rsidRPr="00222E81">
        <w:t xml:space="preserve">e emissions could be achieved annually by 2030 through the new Tier 2 provisions. </w:t>
      </w:r>
    </w:p>
    <w:p w14:paraId="67E6E16C" w14:textId="77777777" w:rsidR="008C34AE" w:rsidRPr="00222E81" w:rsidRDefault="008C34AE" w:rsidP="008C34AE"/>
    <w:p w14:paraId="07DB8A13" w14:textId="77777777" w:rsidR="008C34AE" w:rsidRPr="00A430FC" w:rsidRDefault="008C34AE" w:rsidP="00082479">
      <w:pPr>
        <w:rPr>
          <w:rFonts w:cs="Arial"/>
          <w:b/>
          <w:color w:val="000000"/>
        </w:rPr>
      </w:pPr>
    </w:p>
    <w:p w14:paraId="1019AF96" w14:textId="77777777" w:rsidR="00265C59" w:rsidRDefault="00265C59" w:rsidP="00265C59">
      <w:pPr>
        <w:pStyle w:val="BodyText3"/>
        <w:jc w:val="center"/>
        <w:rPr>
          <w:rFonts w:ascii="Arial" w:hAnsi="Arial" w:cs="Arial"/>
          <w:b/>
          <w:bCs/>
          <w:szCs w:val="24"/>
        </w:rPr>
      </w:pPr>
      <w:r w:rsidRPr="00A430FC">
        <w:rPr>
          <w:rFonts w:ascii="Arial" w:hAnsi="Arial" w:cs="Arial"/>
          <w:b/>
          <w:bCs/>
          <w:szCs w:val="24"/>
        </w:rPr>
        <w:t>APPENDIX A5</w:t>
      </w:r>
    </w:p>
    <w:p w14:paraId="4471C3E4" w14:textId="77777777" w:rsidR="007872EE" w:rsidRPr="00A430FC" w:rsidRDefault="007872EE" w:rsidP="00265C59">
      <w:pPr>
        <w:pStyle w:val="BodyText3"/>
        <w:jc w:val="center"/>
        <w:rPr>
          <w:rFonts w:ascii="Arial" w:hAnsi="Arial" w:cs="Arial"/>
          <w:b/>
          <w:bCs/>
          <w:szCs w:val="24"/>
        </w:rPr>
      </w:pPr>
      <w:r>
        <w:rPr>
          <w:rFonts w:ascii="Arial" w:hAnsi="Arial" w:cs="Arial"/>
          <w:b/>
          <w:bCs/>
          <w:szCs w:val="24"/>
        </w:rPr>
        <w:t>NONRESIDENTIAL VOLUNTARY MEASURES</w:t>
      </w:r>
    </w:p>
    <w:p w14:paraId="5B74D6B8" w14:textId="77777777" w:rsidR="00265C59" w:rsidRDefault="007872EE" w:rsidP="007872EE">
      <w:pPr>
        <w:pStyle w:val="BodyText3"/>
        <w:rPr>
          <w:rFonts w:ascii="Arial" w:hAnsi="Arial" w:cs="Arial"/>
          <w:b/>
          <w:bCs/>
          <w:szCs w:val="24"/>
        </w:rPr>
      </w:pPr>
      <w:r>
        <w:rPr>
          <w:rFonts w:ascii="Arial" w:hAnsi="Arial" w:cs="Arial"/>
          <w:b/>
          <w:bCs/>
          <w:szCs w:val="24"/>
        </w:rPr>
        <w:t>. . .</w:t>
      </w:r>
    </w:p>
    <w:p w14:paraId="2C5E4954" w14:textId="77777777" w:rsidR="007872EE" w:rsidRPr="00A430FC" w:rsidRDefault="007872EE" w:rsidP="007872EE">
      <w:pPr>
        <w:pStyle w:val="BodyText3"/>
        <w:rPr>
          <w:rFonts w:ascii="Arial" w:hAnsi="Arial" w:cs="Arial"/>
          <w:b/>
          <w:bCs/>
          <w:szCs w:val="24"/>
        </w:rPr>
      </w:pPr>
    </w:p>
    <w:p w14:paraId="382FF85A" w14:textId="77777777" w:rsidR="00265C59" w:rsidRPr="00A430FC" w:rsidRDefault="00265C59" w:rsidP="00265C59">
      <w:pPr>
        <w:pStyle w:val="BodyText3"/>
        <w:jc w:val="center"/>
        <w:rPr>
          <w:rFonts w:ascii="Arial" w:hAnsi="Arial" w:cs="Arial"/>
          <w:b/>
          <w:bCs/>
          <w:szCs w:val="24"/>
        </w:rPr>
      </w:pPr>
      <w:r w:rsidRPr="00A430FC">
        <w:rPr>
          <w:rFonts w:ascii="Arial" w:hAnsi="Arial" w:cs="Arial"/>
          <w:b/>
          <w:bCs/>
          <w:szCs w:val="24"/>
        </w:rPr>
        <w:t>SECTION A5.106</w:t>
      </w:r>
    </w:p>
    <w:p w14:paraId="2357708F" w14:textId="77777777" w:rsidR="00265C59" w:rsidRPr="00A430FC" w:rsidRDefault="00265C59" w:rsidP="00265C59">
      <w:pPr>
        <w:pStyle w:val="BodyText3"/>
        <w:jc w:val="center"/>
        <w:rPr>
          <w:rFonts w:ascii="Arial" w:hAnsi="Arial" w:cs="Arial"/>
          <w:b/>
          <w:bCs/>
          <w:szCs w:val="24"/>
        </w:rPr>
      </w:pPr>
      <w:r w:rsidRPr="00A430FC">
        <w:rPr>
          <w:rFonts w:ascii="Arial" w:hAnsi="Arial" w:cs="Arial"/>
          <w:b/>
          <w:bCs/>
          <w:szCs w:val="24"/>
        </w:rPr>
        <w:t>SITE DEVELOPMENT</w:t>
      </w:r>
    </w:p>
    <w:p w14:paraId="6C85EBF2" w14:textId="77777777" w:rsidR="00265C59" w:rsidRPr="00A430FC" w:rsidRDefault="003F7BF9" w:rsidP="003F7BF9">
      <w:pPr>
        <w:autoSpaceDE w:val="0"/>
        <w:autoSpaceDN w:val="0"/>
        <w:adjustRightInd w:val="0"/>
        <w:rPr>
          <w:rFonts w:cs="Arial"/>
          <w:color w:val="000000"/>
        </w:rPr>
      </w:pPr>
      <w:r>
        <w:rPr>
          <w:rFonts w:cs="Arial"/>
          <w:b/>
          <w:color w:val="000000"/>
        </w:rPr>
        <w:t xml:space="preserve">. . . </w:t>
      </w:r>
    </w:p>
    <w:p w14:paraId="68B9A67C" w14:textId="77777777" w:rsidR="00642EC9" w:rsidRPr="00A430FC" w:rsidRDefault="00642EC9" w:rsidP="00265C59">
      <w:pPr>
        <w:rPr>
          <w:rFonts w:cs="Arial"/>
          <w:b/>
        </w:rPr>
      </w:pPr>
    </w:p>
    <w:p w14:paraId="3DFBA785" w14:textId="77777777" w:rsidR="00A1402B" w:rsidRPr="00BB10C3" w:rsidRDefault="00265C59" w:rsidP="00A1402B">
      <w:pPr>
        <w:spacing w:before="120"/>
        <w:rPr>
          <w:rFonts w:cs="Arial"/>
          <w:noProof/>
        </w:rPr>
      </w:pPr>
      <w:r w:rsidRPr="00A430FC">
        <w:rPr>
          <w:rFonts w:cs="Arial"/>
          <w:b/>
        </w:rPr>
        <w:t>A5.106.5.</w:t>
      </w:r>
      <w:r w:rsidRPr="00740011">
        <w:rPr>
          <w:rFonts w:cs="Arial"/>
          <w:b/>
        </w:rPr>
        <w:t xml:space="preserve">3 </w:t>
      </w:r>
      <w:r w:rsidR="007E0950" w:rsidRPr="00740011">
        <w:rPr>
          <w:rFonts w:cs="Arial"/>
          <w:b/>
        </w:rPr>
        <w:t>[</w:t>
      </w:r>
      <w:r w:rsidR="00C5555C" w:rsidRPr="00740011">
        <w:rPr>
          <w:rFonts w:cs="Arial"/>
          <w:b/>
        </w:rPr>
        <w:t>N</w:t>
      </w:r>
      <w:r w:rsidR="007E0950" w:rsidRPr="00740011">
        <w:rPr>
          <w:rFonts w:cs="Arial"/>
          <w:b/>
        </w:rPr>
        <w:t>]</w:t>
      </w:r>
      <w:r w:rsidR="00C5555C" w:rsidRPr="008E1E96">
        <w:rPr>
          <w:rFonts w:cs="Arial"/>
          <w:b/>
        </w:rPr>
        <w:t xml:space="preserve"> </w:t>
      </w:r>
      <w:r w:rsidRPr="00A430FC">
        <w:rPr>
          <w:rFonts w:cs="Arial"/>
          <w:b/>
        </w:rPr>
        <w:t>Electric vehicle (EV) charging.</w:t>
      </w:r>
      <w:r w:rsidRPr="00A430FC">
        <w:rPr>
          <w:rFonts w:cs="Arial"/>
        </w:rPr>
        <w:t xml:space="preserve"> </w:t>
      </w:r>
      <w:r w:rsidR="00A1402B" w:rsidRPr="00BB10C3">
        <w:rPr>
          <w:rFonts w:cs="Arial"/>
          <w:noProof/>
        </w:rPr>
        <w:t xml:space="preserve">Construction shall comply with Section A5.106.5.3.1 and A5.106.5.3.2 to facilitate future installation of electric vehicle supply equipment (EVSE).  When EVSE(s) is/are installed, it shall be in accordance with the </w:t>
      </w:r>
      <w:r w:rsidR="00A1402B" w:rsidRPr="00BB10C3">
        <w:rPr>
          <w:rFonts w:cs="Arial"/>
          <w:i/>
          <w:noProof/>
        </w:rPr>
        <w:t>California Building Code</w:t>
      </w:r>
      <w:r w:rsidR="00A1402B" w:rsidRPr="00BB10C3">
        <w:rPr>
          <w:rFonts w:cs="Arial"/>
          <w:noProof/>
        </w:rPr>
        <w:t xml:space="preserve"> and the </w:t>
      </w:r>
      <w:r w:rsidR="00A1402B" w:rsidRPr="00BB10C3">
        <w:rPr>
          <w:rFonts w:cs="Arial"/>
          <w:i/>
          <w:noProof/>
        </w:rPr>
        <w:t xml:space="preserve">California Electrical Code </w:t>
      </w:r>
      <w:r w:rsidR="00A1402B" w:rsidRPr="00BB10C3">
        <w:rPr>
          <w:rFonts w:cs="Arial"/>
          <w:noProof/>
        </w:rPr>
        <w:t>and as follows:</w:t>
      </w:r>
    </w:p>
    <w:p w14:paraId="7A56709B" w14:textId="77777777" w:rsidR="00A1402B" w:rsidRPr="00BB10C3" w:rsidRDefault="00A1402B" w:rsidP="00A1402B">
      <w:pPr>
        <w:spacing w:before="120"/>
        <w:rPr>
          <w:rFonts w:cs="Arial"/>
          <w:noProof/>
        </w:rPr>
      </w:pPr>
    </w:p>
    <w:p w14:paraId="4A787A15" w14:textId="77777777" w:rsidR="009135A1" w:rsidRPr="009135A1" w:rsidRDefault="00A1402B" w:rsidP="009135A1">
      <w:pPr>
        <w:spacing w:before="120"/>
        <w:ind w:left="720"/>
        <w:rPr>
          <w:rFonts w:cs="Arial"/>
          <w:noProof/>
        </w:rPr>
      </w:pPr>
      <w:r w:rsidRPr="00BB10C3">
        <w:rPr>
          <w:rFonts w:cs="Arial"/>
          <w:b/>
          <w:noProof/>
        </w:rPr>
        <w:t>A5.106.5.3.1 Tier 1.</w:t>
      </w:r>
      <w:r w:rsidRPr="00BB10C3">
        <w:rPr>
          <w:rFonts w:cs="Arial"/>
          <w:noProof/>
        </w:rPr>
        <w:t xml:space="preserve">  Table A5.106.5.3.1 shall be used to determine </w:t>
      </w:r>
      <w:r w:rsidRPr="00BB10C3">
        <w:rPr>
          <w:rFonts w:cs="Arial"/>
          <w:strike/>
          <w:noProof/>
        </w:rPr>
        <w:t>the number of multiple charging spaces required for future installation of EVSE</w:t>
      </w:r>
      <w:r w:rsidRPr="009135A1">
        <w:rPr>
          <w:rFonts w:cs="Arial"/>
          <w:strike/>
          <w:noProof/>
        </w:rPr>
        <w:t>.</w:t>
      </w:r>
      <w:r w:rsidRPr="009135A1">
        <w:rPr>
          <w:rFonts w:cs="Arial"/>
          <w:noProof/>
        </w:rPr>
        <w:t xml:space="preserve"> </w:t>
      </w:r>
      <w:r w:rsidR="009135A1" w:rsidRPr="009135A1">
        <w:rPr>
          <w:rFonts w:cs="Arial"/>
          <w:noProof/>
          <w:u w:val="single"/>
        </w:rPr>
        <w:t>if single or multiple charging space requirements apply for future installation of EVSE.  When a single charging space is required with no requirement for spaces equipped with EVSE, refer to Section 5.106.5.3.1 for design requirements.  When charging spaces are required along with spaces equipped with EVSE, refer to Section 5.106.5.3.2 for design requirements.  All EVSE space requirements are in addition to EV charging space requirements.</w:t>
      </w:r>
      <w:r w:rsidR="009135A1" w:rsidRPr="009135A1">
        <w:rPr>
          <w:rFonts w:cs="Arial"/>
          <w:noProof/>
        </w:rPr>
        <w:t xml:space="preserve"> </w:t>
      </w:r>
    </w:p>
    <w:p w14:paraId="44376EFF" w14:textId="3D463BFF" w:rsidR="00A1402B" w:rsidRPr="00BB10C3" w:rsidRDefault="00A1402B" w:rsidP="00A1402B">
      <w:pPr>
        <w:spacing w:before="120"/>
        <w:ind w:left="720"/>
        <w:rPr>
          <w:rFonts w:cs="Arial"/>
          <w:b/>
          <w:i/>
          <w:noProof/>
        </w:rPr>
      </w:pPr>
    </w:p>
    <w:p w14:paraId="34D9B827" w14:textId="77777777" w:rsidR="00851680" w:rsidRPr="00851680" w:rsidRDefault="00A1402B" w:rsidP="00851680">
      <w:pPr>
        <w:spacing w:before="120"/>
        <w:ind w:left="720"/>
        <w:rPr>
          <w:rFonts w:cs="Arial"/>
          <w:noProof/>
          <w:u w:val="single"/>
        </w:rPr>
      </w:pPr>
      <w:r w:rsidRPr="00BB10C3">
        <w:rPr>
          <w:rFonts w:cs="Arial"/>
          <w:b/>
          <w:noProof/>
        </w:rPr>
        <w:lastRenderedPageBreak/>
        <w:t>A5.106.5.3.2 Tier 2.</w:t>
      </w:r>
      <w:r w:rsidRPr="00BB10C3">
        <w:rPr>
          <w:rFonts w:cs="Arial"/>
          <w:noProof/>
        </w:rPr>
        <w:t xml:space="preserve">  Table A5.106.5.3.2 shall be used to determine </w:t>
      </w:r>
      <w:r w:rsidRPr="00BB10C3">
        <w:rPr>
          <w:rFonts w:cs="Arial"/>
          <w:strike/>
          <w:noProof/>
        </w:rPr>
        <w:t xml:space="preserve">if single or multiple charging space requirements apply for future installation of EVSE. When a single charging space is required, refer to Section 5.106.5.3.1 for design requirements. When multiple charging spaces are required, refer to Section 5.106.5.3.2 for design requirements. </w:t>
      </w:r>
      <w:r w:rsidR="00851680" w:rsidRPr="00851680">
        <w:rPr>
          <w:rFonts w:cs="Arial"/>
          <w:noProof/>
          <w:u w:val="single"/>
        </w:rPr>
        <w:t>the number of EV charging spaces and the number of spaces equipped with EVSE. Refer to Section 5.106.5.3.2 for design requirements.  All EVSE space requirements are in addition to EV charging space requirements.</w:t>
      </w:r>
    </w:p>
    <w:p w14:paraId="20E0CFCF" w14:textId="5BDFD420" w:rsidR="00A1402B" w:rsidRPr="00BB10C3" w:rsidRDefault="00A1402B" w:rsidP="00A1402B">
      <w:pPr>
        <w:spacing w:before="120"/>
        <w:ind w:left="720"/>
        <w:rPr>
          <w:rFonts w:cs="Arial"/>
          <w:i/>
          <w:noProof/>
        </w:rPr>
      </w:pPr>
    </w:p>
    <w:tbl>
      <w:tblPr>
        <w:tblStyle w:val="TableGrid1"/>
        <w:tblW w:w="7074" w:type="dxa"/>
        <w:tblLook w:val="01E0" w:firstRow="1" w:lastRow="1" w:firstColumn="1" w:lastColumn="1" w:noHBand="0" w:noVBand="0"/>
      </w:tblPr>
      <w:tblGrid>
        <w:gridCol w:w="1978"/>
        <w:gridCol w:w="2707"/>
        <w:gridCol w:w="2389"/>
      </w:tblGrid>
      <w:tr w:rsidR="00A1402B" w:rsidRPr="00BB10C3" w14:paraId="74274B52" w14:textId="77777777" w:rsidTr="008167FF">
        <w:tc>
          <w:tcPr>
            <w:tcW w:w="1978" w:type="dxa"/>
          </w:tcPr>
          <w:p w14:paraId="6B910E37" w14:textId="77777777" w:rsidR="00A1402B" w:rsidRPr="00BB10C3" w:rsidRDefault="00A1402B" w:rsidP="00B208A9">
            <w:pPr>
              <w:spacing w:before="120"/>
              <w:jc w:val="center"/>
              <w:rPr>
                <w:rFonts w:cs="Arial"/>
                <w:b/>
                <w:noProof/>
              </w:rPr>
            </w:pPr>
            <w:r w:rsidRPr="00BB10C3">
              <w:rPr>
                <w:rFonts w:cs="Arial"/>
                <w:b/>
                <w:noProof/>
              </w:rPr>
              <w:t>Total number of parking spaces</w:t>
            </w:r>
          </w:p>
        </w:tc>
        <w:tc>
          <w:tcPr>
            <w:tcW w:w="2707" w:type="dxa"/>
          </w:tcPr>
          <w:p w14:paraId="36DB41E7" w14:textId="77777777" w:rsidR="00A1402B" w:rsidRPr="00BB10C3" w:rsidRDefault="00A1402B" w:rsidP="00B208A9">
            <w:pPr>
              <w:spacing w:before="120"/>
              <w:jc w:val="center"/>
              <w:rPr>
                <w:rFonts w:cs="Arial"/>
                <w:b/>
                <w:noProof/>
              </w:rPr>
            </w:pPr>
            <w:r w:rsidRPr="00BB10C3">
              <w:rPr>
                <w:rFonts w:cs="Arial"/>
                <w:b/>
                <w:noProof/>
              </w:rPr>
              <w:t>TIER 1  Number of required EV  charging spaces</w:t>
            </w:r>
          </w:p>
        </w:tc>
        <w:tc>
          <w:tcPr>
            <w:tcW w:w="2389" w:type="dxa"/>
          </w:tcPr>
          <w:p w14:paraId="147C0061" w14:textId="0C06FF79" w:rsidR="00A1402B" w:rsidRPr="008167FF" w:rsidRDefault="00A1402B" w:rsidP="00B208A9">
            <w:pPr>
              <w:spacing w:before="120"/>
              <w:jc w:val="center"/>
              <w:rPr>
                <w:rFonts w:cs="Arial"/>
                <w:b/>
                <w:noProof/>
                <w:u w:val="single"/>
              </w:rPr>
            </w:pPr>
            <w:r w:rsidRPr="008167FF">
              <w:rPr>
                <w:rFonts w:cs="Arial"/>
                <w:b/>
                <w:noProof/>
                <w:u w:val="single"/>
              </w:rPr>
              <w:t>Tier 1 Additional Number of required EV</w:t>
            </w:r>
            <w:r w:rsidR="00473C2C">
              <w:rPr>
                <w:rFonts w:cs="Arial"/>
                <w:b/>
                <w:noProof/>
                <w:u w:val="single"/>
              </w:rPr>
              <w:t>SE</w:t>
            </w:r>
          </w:p>
        </w:tc>
      </w:tr>
      <w:tr w:rsidR="00A1402B" w:rsidRPr="00BB10C3" w14:paraId="52F4F7F2" w14:textId="77777777" w:rsidTr="008167FF">
        <w:trPr>
          <w:trHeight w:val="251"/>
        </w:trPr>
        <w:tc>
          <w:tcPr>
            <w:tcW w:w="1978" w:type="dxa"/>
          </w:tcPr>
          <w:p w14:paraId="228190F0" w14:textId="77777777" w:rsidR="00A1402B" w:rsidRPr="00BB10C3" w:rsidRDefault="00A1402B" w:rsidP="00B208A9">
            <w:pPr>
              <w:spacing w:before="120"/>
              <w:jc w:val="center"/>
              <w:rPr>
                <w:rFonts w:cs="Arial"/>
                <w:noProof/>
              </w:rPr>
            </w:pPr>
            <w:r w:rsidRPr="00BB10C3">
              <w:rPr>
                <w:rFonts w:cs="Arial"/>
                <w:noProof/>
              </w:rPr>
              <w:t>0-9</w:t>
            </w:r>
          </w:p>
        </w:tc>
        <w:tc>
          <w:tcPr>
            <w:tcW w:w="2707" w:type="dxa"/>
          </w:tcPr>
          <w:p w14:paraId="5FA1FC4F" w14:textId="77777777" w:rsidR="00A1402B" w:rsidRPr="00BB10C3" w:rsidRDefault="00A1402B" w:rsidP="00B208A9">
            <w:pPr>
              <w:spacing w:before="120"/>
              <w:jc w:val="center"/>
              <w:rPr>
                <w:rFonts w:cs="Arial"/>
                <w:noProof/>
              </w:rPr>
            </w:pPr>
            <w:r w:rsidRPr="00BB10C3">
              <w:rPr>
                <w:rFonts w:cs="Arial"/>
                <w:noProof/>
              </w:rPr>
              <w:t xml:space="preserve"> 1</w:t>
            </w:r>
          </w:p>
        </w:tc>
        <w:tc>
          <w:tcPr>
            <w:tcW w:w="2389" w:type="dxa"/>
          </w:tcPr>
          <w:p w14:paraId="64595A95" w14:textId="77777777" w:rsidR="00A1402B" w:rsidRPr="00BB10C3" w:rsidRDefault="00A1402B" w:rsidP="00B208A9">
            <w:pPr>
              <w:spacing w:before="120"/>
              <w:jc w:val="center"/>
              <w:rPr>
                <w:rFonts w:cs="Arial"/>
                <w:noProof/>
                <w:u w:val="single"/>
              </w:rPr>
            </w:pPr>
            <w:r w:rsidRPr="00BB10C3">
              <w:rPr>
                <w:rFonts w:cs="Arial"/>
                <w:noProof/>
                <w:u w:val="single"/>
              </w:rPr>
              <w:t>0</w:t>
            </w:r>
          </w:p>
        </w:tc>
      </w:tr>
      <w:tr w:rsidR="00A1402B" w:rsidRPr="00BB10C3" w14:paraId="6469263E" w14:textId="77777777" w:rsidTr="008167FF">
        <w:trPr>
          <w:trHeight w:val="251"/>
        </w:trPr>
        <w:tc>
          <w:tcPr>
            <w:tcW w:w="1978" w:type="dxa"/>
          </w:tcPr>
          <w:p w14:paraId="1AD8D562" w14:textId="77777777" w:rsidR="00A1402B" w:rsidRPr="00BB10C3" w:rsidRDefault="00A1402B" w:rsidP="00B208A9">
            <w:pPr>
              <w:spacing w:before="120"/>
              <w:jc w:val="center"/>
              <w:rPr>
                <w:rFonts w:cs="Arial"/>
                <w:noProof/>
              </w:rPr>
            </w:pPr>
            <w:r w:rsidRPr="00BB10C3">
              <w:rPr>
                <w:rFonts w:cs="Arial"/>
                <w:noProof/>
              </w:rPr>
              <w:t>10-25</w:t>
            </w:r>
          </w:p>
        </w:tc>
        <w:tc>
          <w:tcPr>
            <w:tcW w:w="2707" w:type="dxa"/>
          </w:tcPr>
          <w:p w14:paraId="0B7EDB9C" w14:textId="77777777" w:rsidR="00A1402B" w:rsidRPr="00BB10C3" w:rsidRDefault="00A1402B" w:rsidP="00B208A9">
            <w:pPr>
              <w:spacing w:before="120"/>
              <w:jc w:val="center"/>
              <w:rPr>
                <w:rFonts w:cs="Arial"/>
                <w:noProof/>
                <w:u w:val="single"/>
              </w:rPr>
            </w:pPr>
            <w:r w:rsidRPr="00BB10C3">
              <w:rPr>
                <w:rFonts w:cs="Arial"/>
                <w:noProof/>
              </w:rPr>
              <w:t>3</w:t>
            </w:r>
          </w:p>
        </w:tc>
        <w:tc>
          <w:tcPr>
            <w:tcW w:w="2389" w:type="dxa"/>
          </w:tcPr>
          <w:p w14:paraId="1CBB9C55" w14:textId="77777777" w:rsidR="00A1402B" w:rsidRPr="00BB10C3" w:rsidRDefault="00A1402B" w:rsidP="00B208A9">
            <w:pPr>
              <w:spacing w:before="120"/>
              <w:jc w:val="center"/>
              <w:rPr>
                <w:rFonts w:cs="Arial"/>
                <w:noProof/>
                <w:u w:val="single"/>
              </w:rPr>
            </w:pPr>
            <w:r w:rsidRPr="00BB10C3">
              <w:rPr>
                <w:rFonts w:cs="Arial"/>
                <w:noProof/>
                <w:u w:val="single"/>
              </w:rPr>
              <w:t>1</w:t>
            </w:r>
          </w:p>
        </w:tc>
      </w:tr>
      <w:tr w:rsidR="00A1402B" w:rsidRPr="00BB10C3" w14:paraId="105C1EB4" w14:textId="77777777" w:rsidTr="008167FF">
        <w:trPr>
          <w:trHeight w:val="251"/>
        </w:trPr>
        <w:tc>
          <w:tcPr>
            <w:tcW w:w="1978" w:type="dxa"/>
          </w:tcPr>
          <w:p w14:paraId="30ED0FA9" w14:textId="77777777" w:rsidR="00A1402B" w:rsidRPr="00BB10C3" w:rsidRDefault="00A1402B" w:rsidP="00B208A9">
            <w:pPr>
              <w:spacing w:before="120"/>
              <w:jc w:val="center"/>
              <w:rPr>
                <w:rFonts w:cs="Arial"/>
                <w:noProof/>
              </w:rPr>
            </w:pPr>
            <w:r w:rsidRPr="00BB10C3">
              <w:rPr>
                <w:rFonts w:cs="Arial"/>
                <w:noProof/>
              </w:rPr>
              <w:t>26-50</w:t>
            </w:r>
          </w:p>
        </w:tc>
        <w:tc>
          <w:tcPr>
            <w:tcW w:w="2707" w:type="dxa"/>
          </w:tcPr>
          <w:p w14:paraId="117E98E5" w14:textId="77777777" w:rsidR="00A1402B" w:rsidRPr="00BB10C3" w:rsidRDefault="00A1402B" w:rsidP="00B208A9">
            <w:pPr>
              <w:spacing w:before="120"/>
              <w:jc w:val="center"/>
              <w:rPr>
                <w:rFonts w:cs="Arial"/>
                <w:noProof/>
                <w:u w:val="single"/>
              </w:rPr>
            </w:pPr>
            <w:r w:rsidRPr="00BB10C3">
              <w:rPr>
                <w:rFonts w:cs="Arial"/>
                <w:noProof/>
              </w:rPr>
              <w:t>6</w:t>
            </w:r>
          </w:p>
        </w:tc>
        <w:tc>
          <w:tcPr>
            <w:tcW w:w="2389" w:type="dxa"/>
          </w:tcPr>
          <w:p w14:paraId="40BC3C25" w14:textId="77777777" w:rsidR="00A1402B" w:rsidRPr="00BB10C3" w:rsidRDefault="00A1402B" w:rsidP="00B208A9">
            <w:pPr>
              <w:spacing w:before="120"/>
              <w:jc w:val="center"/>
              <w:rPr>
                <w:rFonts w:cs="Arial"/>
                <w:noProof/>
                <w:u w:val="single"/>
              </w:rPr>
            </w:pPr>
            <w:r w:rsidRPr="00BB10C3">
              <w:rPr>
                <w:rFonts w:cs="Arial"/>
                <w:noProof/>
                <w:u w:val="single"/>
              </w:rPr>
              <w:t>1</w:t>
            </w:r>
          </w:p>
        </w:tc>
      </w:tr>
      <w:tr w:rsidR="00A1402B" w:rsidRPr="00BB10C3" w14:paraId="349BDEF8" w14:textId="77777777" w:rsidTr="008167FF">
        <w:trPr>
          <w:trHeight w:val="287"/>
        </w:trPr>
        <w:tc>
          <w:tcPr>
            <w:tcW w:w="1978" w:type="dxa"/>
          </w:tcPr>
          <w:p w14:paraId="391288E7" w14:textId="77777777" w:rsidR="00A1402B" w:rsidRPr="00BB10C3" w:rsidRDefault="00A1402B" w:rsidP="00B208A9">
            <w:pPr>
              <w:spacing w:before="120"/>
              <w:jc w:val="center"/>
              <w:rPr>
                <w:rFonts w:cs="Arial"/>
                <w:noProof/>
              </w:rPr>
            </w:pPr>
            <w:r w:rsidRPr="00BB10C3">
              <w:rPr>
                <w:rFonts w:cs="Arial"/>
                <w:noProof/>
              </w:rPr>
              <w:t>51-75</w:t>
            </w:r>
          </w:p>
        </w:tc>
        <w:tc>
          <w:tcPr>
            <w:tcW w:w="2707" w:type="dxa"/>
          </w:tcPr>
          <w:p w14:paraId="171AD186" w14:textId="77777777" w:rsidR="00A1402B" w:rsidRPr="00BB10C3" w:rsidRDefault="00A1402B" w:rsidP="00B208A9">
            <w:pPr>
              <w:spacing w:before="120"/>
              <w:jc w:val="center"/>
              <w:rPr>
                <w:rFonts w:cs="Arial"/>
                <w:noProof/>
                <w:u w:val="single"/>
              </w:rPr>
            </w:pPr>
            <w:r w:rsidRPr="00BB10C3">
              <w:rPr>
                <w:rFonts w:cs="Arial"/>
                <w:noProof/>
              </w:rPr>
              <w:t>10</w:t>
            </w:r>
          </w:p>
        </w:tc>
        <w:tc>
          <w:tcPr>
            <w:tcW w:w="2389" w:type="dxa"/>
          </w:tcPr>
          <w:p w14:paraId="7AE4BFB8" w14:textId="77777777" w:rsidR="00A1402B" w:rsidRPr="00BB10C3" w:rsidRDefault="00A1402B" w:rsidP="00B208A9">
            <w:pPr>
              <w:spacing w:before="120"/>
              <w:jc w:val="center"/>
              <w:rPr>
                <w:rFonts w:cs="Arial"/>
                <w:noProof/>
                <w:u w:val="single"/>
              </w:rPr>
            </w:pPr>
            <w:r w:rsidRPr="00BB10C3">
              <w:rPr>
                <w:rFonts w:cs="Arial"/>
                <w:noProof/>
                <w:u w:val="single"/>
              </w:rPr>
              <w:t>2</w:t>
            </w:r>
          </w:p>
        </w:tc>
      </w:tr>
      <w:tr w:rsidR="00A1402B" w:rsidRPr="00BB10C3" w14:paraId="44F0351F" w14:textId="77777777" w:rsidTr="008167FF">
        <w:trPr>
          <w:trHeight w:val="314"/>
        </w:trPr>
        <w:tc>
          <w:tcPr>
            <w:tcW w:w="1978" w:type="dxa"/>
          </w:tcPr>
          <w:p w14:paraId="5AC5A3F0" w14:textId="77777777" w:rsidR="00A1402B" w:rsidRPr="00BB10C3" w:rsidRDefault="00A1402B" w:rsidP="00B208A9">
            <w:pPr>
              <w:spacing w:before="120"/>
              <w:jc w:val="center"/>
              <w:rPr>
                <w:rFonts w:cs="Arial"/>
                <w:noProof/>
              </w:rPr>
            </w:pPr>
            <w:r w:rsidRPr="00BB10C3">
              <w:rPr>
                <w:rFonts w:cs="Arial"/>
                <w:noProof/>
              </w:rPr>
              <w:t>76-100</w:t>
            </w:r>
          </w:p>
        </w:tc>
        <w:tc>
          <w:tcPr>
            <w:tcW w:w="2707" w:type="dxa"/>
          </w:tcPr>
          <w:p w14:paraId="6B2F11D7" w14:textId="77777777" w:rsidR="00A1402B" w:rsidRPr="00BB10C3" w:rsidRDefault="00A1402B" w:rsidP="00B208A9">
            <w:pPr>
              <w:spacing w:before="120"/>
              <w:jc w:val="center"/>
              <w:rPr>
                <w:rFonts w:cs="Arial"/>
                <w:noProof/>
              </w:rPr>
            </w:pPr>
            <w:r w:rsidRPr="00BB10C3">
              <w:rPr>
                <w:rFonts w:cs="Arial"/>
                <w:noProof/>
              </w:rPr>
              <w:t>14</w:t>
            </w:r>
          </w:p>
        </w:tc>
        <w:tc>
          <w:tcPr>
            <w:tcW w:w="2389" w:type="dxa"/>
          </w:tcPr>
          <w:p w14:paraId="07CC5547" w14:textId="77777777" w:rsidR="00A1402B" w:rsidRPr="00BB10C3" w:rsidRDefault="00A1402B" w:rsidP="00B208A9">
            <w:pPr>
              <w:spacing w:before="120"/>
              <w:jc w:val="center"/>
              <w:rPr>
                <w:rFonts w:cs="Arial"/>
                <w:noProof/>
                <w:u w:val="single"/>
              </w:rPr>
            </w:pPr>
            <w:r w:rsidRPr="00BB10C3">
              <w:rPr>
                <w:rFonts w:cs="Arial"/>
                <w:noProof/>
                <w:u w:val="single"/>
              </w:rPr>
              <w:t>3</w:t>
            </w:r>
          </w:p>
        </w:tc>
      </w:tr>
      <w:tr w:rsidR="00A1402B" w:rsidRPr="00BB10C3" w14:paraId="1BD2AC89" w14:textId="77777777" w:rsidTr="008167FF">
        <w:trPr>
          <w:trHeight w:val="260"/>
        </w:trPr>
        <w:tc>
          <w:tcPr>
            <w:tcW w:w="1978" w:type="dxa"/>
          </w:tcPr>
          <w:p w14:paraId="4E32C62B" w14:textId="77777777" w:rsidR="00A1402B" w:rsidRPr="00BB10C3" w:rsidRDefault="00A1402B" w:rsidP="00B208A9">
            <w:pPr>
              <w:spacing w:before="120"/>
              <w:jc w:val="center"/>
              <w:rPr>
                <w:rFonts w:cs="Arial"/>
                <w:noProof/>
              </w:rPr>
            </w:pPr>
            <w:r w:rsidRPr="00BB10C3">
              <w:rPr>
                <w:rFonts w:cs="Arial"/>
                <w:noProof/>
              </w:rPr>
              <w:t>101-150</w:t>
            </w:r>
          </w:p>
        </w:tc>
        <w:tc>
          <w:tcPr>
            <w:tcW w:w="2707" w:type="dxa"/>
          </w:tcPr>
          <w:p w14:paraId="0CE94CA5" w14:textId="77777777" w:rsidR="00A1402B" w:rsidRPr="00BB10C3" w:rsidRDefault="00A1402B" w:rsidP="00B208A9">
            <w:pPr>
              <w:spacing w:before="120"/>
              <w:jc w:val="center"/>
              <w:rPr>
                <w:rFonts w:cs="Arial"/>
                <w:noProof/>
              </w:rPr>
            </w:pPr>
            <w:r w:rsidRPr="00BB10C3">
              <w:rPr>
                <w:rFonts w:cs="Arial"/>
                <w:noProof/>
              </w:rPr>
              <w:t>20</w:t>
            </w:r>
          </w:p>
        </w:tc>
        <w:tc>
          <w:tcPr>
            <w:tcW w:w="2389" w:type="dxa"/>
          </w:tcPr>
          <w:p w14:paraId="6D2E146E" w14:textId="77777777" w:rsidR="00A1402B" w:rsidRPr="00BB10C3" w:rsidRDefault="00A1402B" w:rsidP="00B208A9">
            <w:pPr>
              <w:spacing w:before="120"/>
              <w:jc w:val="center"/>
              <w:rPr>
                <w:rFonts w:cs="Arial"/>
                <w:noProof/>
                <w:u w:val="single"/>
              </w:rPr>
            </w:pPr>
            <w:r w:rsidRPr="00BB10C3">
              <w:rPr>
                <w:rFonts w:cs="Arial"/>
                <w:noProof/>
                <w:u w:val="single"/>
              </w:rPr>
              <w:t>4</w:t>
            </w:r>
          </w:p>
        </w:tc>
      </w:tr>
      <w:tr w:rsidR="00A1402B" w:rsidRPr="00BB10C3" w14:paraId="67A3FC83" w14:textId="77777777" w:rsidTr="008167FF">
        <w:trPr>
          <w:trHeight w:val="287"/>
        </w:trPr>
        <w:tc>
          <w:tcPr>
            <w:tcW w:w="1978" w:type="dxa"/>
          </w:tcPr>
          <w:p w14:paraId="7C31BEE2" w14:textId="77777777" w:rsidR="00A1402B" w:rsidRPr="00BB10C3" w:rsidRDefault="00A1402B" w:rsidP="00B208A9">
            <w:pPr>
              <w:spacing w:before="120"/>
              <w:jc w:val="center"/>
              <w:rPr>
                <w:rFonts w:cs="Arial"/>
                <w:noProof/>
              </w:rPr>
            </w:pPr>
            <w:r w:rsidRPr="00BB10C3">
              <w:rPr>
                <w:rFonts w:cs="Arial"/>
                <w:noProof/>
              </w:rPr>
              <w:t>151-200</w:t>
            </w:r>
          </w:p>
        </w:tc>
        <w:tc>
          <w:tcPr>
            <w:tcW w:w="2707" w:type="dxa"/>
          </w:tcPr>
          <w:p w14:paraId="1B74F05F" w14:textId="77777777" w:rsidR="00A1402B" w:rsidRPr="00BB10C3" w:rsidRDefault="00A1402B" w:rsidP="00B208A9">
            <w:pPr>
              <w:spacing w:before="120"/>
              <w:jc w:val="center"/>
              <w:rPr>
                <w:rFonts w:cs="Arial"/>
                <w:noProof/>
              </w:rPr>
            </w:pPr>
            <w:r w:rsidRPr="00BB10C3">
              <w:rPr>
                <w:rFonts w:cs="Arial"/>
                <w:noProof/>
              </w:rPr>
              <w:t>27</w:t>
            </w:r>
          </w:p>
        </w:tc>
        <w:tc>
          <w:tcPr>
            <w:tcW w:w="2389" w:type="dxa"/>
          </w:tcPr>
          <w:p w14:paraId="7036212F" w14:textId="77777777" w:rsidR="00A1402B" w:rsidRPr="00BB10C3" w:rsidRDefault="00A1402B" w:rsidP="00B208A9">
            <w:pPr>
              <w:spacing w:before="120"/>
              <w:jc w:val="center"/>
              <w:rPr>
                <w:rFonts w:cs="Arial"/>
                <w:noProof/>
                <w:u w:val="single"/>
              </w:rPr>
            </w:pPr>
            <w:r w:rsidRPr="00BB10C3">
              <w:rPr>
                <w:rFonts w:cs="Arial"/>
                <w:noProof/>
                <w:u w:val="single"/>
              </w:rPr>
              <w:t>5</w:t>
            </w:r>
          </w:p>
        </w:tc>
      </w:tr>
      <w:tr w:rsidR="00A1402B" w:rsidRPr="00BB10C3" w14:paraId="06E82D24" w14:textId="77777777" w:rsidTr="008167FF">
        <w:trPr>
          <w:trHeight w:val="287"/>
        </w:trPr>
        <w:tc>
          <w:tcPr>
            <w:tcW w:w="1978" w:type="dxa"/>
          </w:tcPr>
          <w:p w14:paraId="191B11EC" w14:textId="77777777" w:rsidR="00A1402B" w:rsidRPr="00BB10C3" w:rsidRDefault="00A1402B" w:rsidP="00B208A9">
            <w:pPr>
              <w:spacing w:before="120"/>
              <w:jc w:val="center"/>
              <w:rPr>
                <w:rFonts w:cs="Arial"/>
                <w:noProof/>
              </w:rPr>
            </w:pPr>
            <w:r w:rsidRPr="00BB10C3">
              <w:rPr>
                <w:rFonts w:cs="Arial"/>
                <w:noProof/>
              </w:rPr>
              <w:t>201 and over</w:t>
            </w:r>
          </w:p>
        </w:tc>
        <w:tc>
          <w:tcPr>
            <w:tcW w:w="2707" w:type="dxa"/>
          </w:tcPr>
          <w:p w14:paraId="3E8B4687" w14:textId="77777777" w:rsidR="00A1402B" w:rsidRPr="00BB10C3" w:rsidRDefault="00A1402B" w:rsidP="00B208A9">
            <w:pPr>
              <w:spacing w:before="120"/>
              <w:jc w:val="center"/>
              <w:rPr>
                <w:rFonts w:cs="Arial"/>
                <w:noProof/>
              </w:rPr>
            </w:pPr>
            <w:r w:rsidRPr="00BB10C3">
              <w:rPr>
                <w:rFonts w:cs="Arial"/>
                <w:noProof/>
                <w:vertAlign w:val="superscript"/>
              </w:rPr>
              <w:t xml:space="preserve"> </w:t>
            </w:r>
            <w:r w:rsidRPr="00BB10C3">
              <w:rPr>
                <w:rFonts w:cs="Arial"/>
                <w:noProof/>
              </w:rPr>
              <w:t>15 percent of total</w:t>
            </w:r>
            <w:r w:rsidRPr="00BB10C3">
              <w:rPr>
                <w:rFonts w:cs="Arial"/>
                <w:noProof/>
                <w:vertAlign w:val="superscript"/>
              </w:rPr>
              <w:t>1</w:t>
            </w:r>
          </w:p>
        </w:tc>
        <w:tc>
          <w:tcPr>
            <w:tcW w:w="2389" w:type="dxa"/>
          </w:tcPr>
          <w:p w14:paraId="001D80F0" w14:textId="77777777" w:rsidR="00A1402B" w:rsidRPr="00BB10C3" w:rsidRDefault="00A1402B" w:rsidP="00B208A9">
            <w:pPr>
              <w:spacing w:before="120"/>
              <w:jc w:val="center"/>
              <w:rPr>
                <w:rFonts w:cs="Arial"/>
                <w:noProof/>
                <w:u w:val="single"/>
              </w:rPr>
            </w:pPr>
            <w:r w:rsidRPr="00BB10C3">
              <w:rPr>
                <w:rFonts w:cs="Arial"/>
                <w:noProof/>
                <w:u w:val="single"/>
              </w:rPr>
              <w:t>3 percent of total</w:t>
            </w:r>
          </w:p>
        </w:tc>
      </w:tr>
    </w:tbl>
    <w:p w14:paraId="1418692B" w14:textId="77777777" w:rsidR="00A1402B" w:rsidRPr="00BB10C3" w:rsidRDefault="00A1402B" w:rsidP="00A1402B">
      <w:pPr>
        <w:widowControl w:val="0"/>
        <w:numPr>
          <w:ilvl w:val="0"/>
          <w:numId w:val="23"/>
        </w:numPr>
        <w:spacing w:before="120"/>
        <w:jc w:val="center"/>
        <w:rPr>
          <w:rFonts w:cs="Arial"/>
          <w:noProof/>
        </w:rPr>
      </w:pPr>
      <w:r w:rsidRPr="00BB10C3">
        <w:rPr>
          <w:rFonts w:cs="Arial"/>
          <w:noProof/>
        </w:rPr>
        <w:t>Calculation for spaces shall be rounded up to the nearest whole number.</w:t>
      </w:r>
    </w:p>
    <w:p w14:paraId="0787431F" w14:textId="77777777" w:rsidR="00A1402B" w:rsidRPr="00BB10C3" w:rsidRDefault="00A1402B" w:rsidP="00A1402B">
      <w:pPr>
        <w:spacing w:before="120"/>
        <w:jc w:val="center"/>
        <w:rPr>
          <w:rFonts w:cs="Arial"/>
          <w:noProof/>
        </w:rPr>
      </w:pPr>
    </w:p>
    <w:p w14:paraId="6B26C2CE" w14:textId="77777777" w:rsidR="00A1402B" w:rsidRPr="00BB10C3" w:rsidRDefault="00A1402B" w:rsidP="00A1402B">
      <w:pPr>
        <w:spacing w:before="120"/>
        <w:jc w:val="center"/>
        <w:rPr>
          <w:rFonts w:cs="Arial"/>
          <w:b/>
        </w:rPr>
      </w:pPr>
      <w:r w:rsidRPr="00BB10C3">
        <w:rPr>
          <w:rFonts w:cs="Arial"/>
          <w:b/>
        </w:rPr>
        <w:t>Table A5.106.5.3.2</w:t>
      </w:r>
    </w:p>
    <w:tbl>
      <w:tblPr>
        <w:tblStyle w:val="TableGrid1"/>
        <w:tblW w:w="7074" w:type="dxa"/>
        <w:tblLook w:val="0620" w:firstRow="1" w:lastRow="0" w:firstColumn="0" w:lastColumn="0" w:noHBand="1" w:noVBand="1"/>
      </w:tblPr>
      <w:tblGrid>
        <w:gridCol w:w="1978"/>
        <w:gridCol w:w="2707"/>
        <w:gridCol w:w="2389"/>
      </w:tblGrid>
      <w:tr w:rsidR="00A1402B" w:rsidRPr="00BB10C3" w14:paraId="760E8D3E" w14:textId="77777777" w:rsidTr="008167FF">
        <w:tc>
          <w:tcPr>
            <w:tcW w:w="1978" w:type="dxa"/>
          </w:tcPr>
          <w:p w14:paraId="490C466B" w14:textId="77777777" w:rsidR="00A1402B" w:rsidRPr="00BB10C3" w:rsidRDefault="00A1402B" w:rsidP="00B208A9">
            <w:pPr>
              <w:spacing w:before="120"/>
              <w:jc w:val="center"/>
              <w:rPr>
                <w:rFonts w:cs="Arial"/>
                <w:b/>
              </w:rPr>
            </w:pPr>
            <w:r w:rsidRPr="00BB10C3">
              <w:rPr>
                <w:rFonts w:cs="Arial"/>
                <w:b/>
              </w:rPr>
              <w:t>Total number of parking spaces</w:t>
            </w:r>
          </w:p>
        </w:tc>
        <w:tc>
          <w:tcPr>
            <w:tcW w:w="2707" w:type="dxa"/>
          </w:tcPr>
          <w:p w14:paraId="76F6568D" w14:textId="77777777" w:rsidR="00A1402B" w:rsidRPr="00BB10C3" w:rsidRDefault="00A1402B" w:rsidP="00B208A9">
            <w:pPr>
              <w:spacing w:before="120"/>
              <w:jc w:val="center"/>
              <w:rPr>
                <w:rFonts w:cs="Arial"/>
                <w:b/>
              </w:rPr>
            </w:pPr>
            <w:r w:rsidRPr="00BB10C3">
              <w:rPr>
                <w:rFonts w:cs="Arial"/>
                <w:b/>
              </w:rPr>
              <w:t>TIER 2  Number of required EV  charging spaces</w:t>
            </w:r>
          </w:p>
        </w:tc>
        <w:tc>
          <w:tcPr>
            <w:tcW w:w="2389" w:type="dxa"/>
          </w:tcPr>
          <w:p w14:paraId="63635DB3" w14:textId="0A17A899" w:rsidR="00A1402B" w:rsidRPr="00BB10C3" w:rsidRDefault="00A1402B" w:rsidP="00B208A9">
            <w:pPr>
              <w:spacing w:before="120"/>
              <w:jc w:val="center"/>
              <w:rPr>
                <w:rFonts w:cs="Arial"/>
                <w:b/>
                <w:u w:val="single"/>
              </w:rPr>
            </w:pPr>
            <w:r w:rsidRPr="00BB10C3">
              <w:rPr>
                <w:rFonts w:cs="Arial"/>
                <w:b/>
                <w:u w:val="single"/>
              </w:rPr>
              <w:t>TIER 2 Additional Number of required EV</w:t>
            </w:r>
            <w:r w:rsidR="00473C2C">
              <w:rPr>
                <w:rFonts w:cs="Arial"/>
                <w:b/>
                <w:u w:val="single"/>
              </w:rPr>
              <w:t>SE</w:t>
            </w:r>
          </w:p>
        </w:tc>
      </w:tr>
      <w:tr w:rsidR="00A1402B" w:rsidRPr="00BB10C3" w14:paraId="3EE229D9" w14:textId="77777777" w:rsidTr="008167FF">
        <w:trPr>
          <w:trHeight w:val="251"/>
        </w:trPr>
        <w:tc>
          <w:tcPr>
            <w:tcW w:w="1978" w:type="dxa"/>
          </w:tcPr>
          <w:p w14:paraId="274D6EF9" w14:textId="77777777" w:rsidR="00A1402B" w:rsidRPr="00BB10C3" w:rsidRDefault="00A1402B" w:rsidP="00B208A9">
            <w:pPr>
              <w:spacing w:before="120"/>
              <w:jc w:val="center"/>
              <w:rPr>
                <w:rFonts w:cs="Arial"/>
              </w:rPr>
            </w:pPr>
            <w:r w:rsidRPr="00BB10C3">
              <w:rPr>
                <w:rFonts w:cs="Arial"/>
              </w:rPr>
              <w:t>0-9</w:t>
            </w:r>
          </w:p>
        </w:tc>
        <w:tc>
          <w:tcPr>
            <w:tcW w:w="2707" w:type="dxa"/>
          </w:tcPr>
          <w:p w14:paraId="60A70C37" w14:textId="77777777" w:rsidR="00A1402B" w:rsidRPr="00BB10C3" w:rsidRDefault="00A1402B" w:rsidP="00B208A9">
            <w:pPr>
              <w:spacing w:before="120"/>
              <w:jc w:val="center"/>
              <w:rPr>
                <w:rFonts w:cs="Arial"/>
              </w:rPr>
            </w:pPr>
            <w:r w:rsidRPr="00BB10C3">
              <w:rPr>
                <w:rFonts w:cs="Arial"/>
              </w:rPr>
              <w:t>2</w:t>
            </w:r>
          </w:p>
        </w:tc>
        <w:tc>
          <w:tcPr>
            <w:tcW w:w="2389" w:type="dxa"/>
          </w:tcPr>
          <w:p w14:paraId="038C77F2" w14:textId="77777777" w:rsidR="00A1402B" w:rsidRPr="00BB10C3" w:rsidRDefault="00A1402B" w:rsidP="00B208A9">
            <w:pPr>
              <w:spacing w:before="120"/>
              <w:jc w:val="center"/>
              <w:rPr>
                <w:rFonts w:cs="Arial"/>
                <w:u w:val="single"/>
              </w:rPr>
            </w:pPr>
            <w:r w:rsidRPr="00BB10C3">
              <w:rPr>
                <w:rFonts w:cs="Arial"/>
                <w:u w:val="single"/>
              </w:rPr>
              <w:t>0</w:t>
            </w:r>
          </w:p>
        </w:tc>
      </w:tr>
      <w:tr w:rsidR="00A1402B" w:rsidRPr="00BB10C3" w14:paraId="6425C645" w14:textId="77777777" w:rsidTr="008167FF">
        <w:trPr>
          <w:trHeight w:val="251"/>
        </w:trPr>
        <w:tc>
          <w:tcPr>
            <w:tcW w:w="1978" w:type="dxa"/>
          </w:tcPr>
          <w:p w14:paraId="056C46BF" w14:textId="77777777" w:rsidR="00A1402B" w:rsidRPr="00BB10C3" w:rsidRDefault="00A1402B" w:rsidP="00B208A9">
            <w:pPr>
              <w:spacing w:before="120"/>
              <w:jc w:val="center"/>
              <w:rPr>
                <w:rFonts w:cs="Arial"/>
              </w:rPr>
            </w:pPr>
            <w:r w:rsidRPr="00BB10C3">
              <w:rPr>
                <w:rFonts w:cs="Arial"/>
              </w:rPr>
              <w:t>10-25</w:t>
            </w:r>
          </w:p>
        </w:tc>
        <w:tc>
          <w:tcPr>
            <w:tcW w:w="2707" w:type="dxa"/>
          </w:tcPr>
          <w:p w14:paraId="25E2C9DB" w14:textId="77777777" w:rsidR="00A1402B" w:rsidRPr="00BB10C3" w:rsidRDefault="00A1402B" w:rsidP="00B208A9">
            <w:pPr>
              <w:spacing w:before="120"/>
              <w:jc w:val="center"/>
              <w:rPr>
                <w:rFonts w:cs="Arial"/>
              </w:rPr>
            </w:pPr>
            <w:r w:rsidRPr="00BB10C3">
              <w:rPr>
                <w:rFonts w:cs="Arial"/>
              </w:rPr>
              <w:t>4</w:t>
            </w:r>
          </w:p>
        </w:tc>
        <w:tc>
          <w:tcPr>
            <w:tcW w:w="2389" w:type="dxa"/>
          </w:tcPr>
          <w:p w14:paraId="0866A071" w14:textId="77777777" w:rsidR="00A1402B" w:rsidRPr="00BB10C3" w:rsidRDefault="00A1402B" w:rsidP="00B208A9">
            <w:pPr>
              <w:spacing w:before="120"/>
              <w:jc w:val="center"/>
              <w:rPr>
                <w:rFonts w:cs="Arial"/>
                <w:u w:val="single"/>
              </w:rPr>
            </w:pPr>
            <w:r w:rsidRPr="00BB10C3">
              <w:rPr>
                <w:rFonts w:cs="Arial"/>
                <w:u w:val="single"/>
              </w:rPr>
              <w:t>1</w:t>
            </w:r>
          </w:p>
        </w:tc>
      </w:tr>
      <w:tr w:rsidR="00A1402B" w:rsidRPr="00BB10C3" w14:paraId="1C36805D" w14:textId="77777777" w:rsidTr="008167FF">
        <w:trPr>
          <w:trHeight w:val="251"/>
        </w:trPr>
        <w:tc>
          <w:tcPr>
            <w:tcW w:w="1978" w:type="dxa"/>
          </w:tcPr>
          <w:p w14:paraId="18344040" w14:textId="77777777" w:rsidR="00A1402B" w:rsidRPr="00BB10C3" w:rsidRDefault="00A1402B" w:rsidP="00B208A9">
            <w:pPr>
              <w:spacing w:before="120"/>
              <w:jc w:val="center"/>
              <w:rPr>
                <w:rFonts w:cs="Arial"/>
              </w:rPr>
            </w:pPr>
            <w:r w:rsidRPr="00BB10C3">
              <w:rPr>
                <w:rFonts w:cs="Arial"/>
              </w:rPr>
              <w:t>26-50</w:t>
            </w:r>
          </w:p>
        </w:tc>
        <w:tc>
          <w:tcPr>
            <w:tcW w:w="2707" w:type="dxa"/>
          </w:tcPr>
          <w:p w14:paraId="2791A268" w14:textId="77777777" w:rsidR="00A1402B" w:rsidRPr="00BB10C3" w:rsidRDefault="00A1402B" w:rsidP="00B208A9">
            <w:pPr>
              <w:spacing w:before="120"/>
              <w:jc w:val="center"/>
              <w:rPr>
                <w:rFonts w:cs="Arial"/>
              </w:rPr>
            </w:pPr>
            <w:r w:rsidRPr="00BB10C3">
              <w:rPr>
                <w:rFonts w:cs="Arial"/>
              </w:rPr>
              <w:t>8</w:t>
            </w:r>
          </w:p>
        </w:tc>
        <w:tc>
          <w:tcPr>
            <w:tcW w:w="2389" w:type="dxa"/>
          </w:tcPr>
          <w:p w14:paraId="19102A61" w14:textId="77777777" w:rsidR="00A1402B" w:rsidRPr="00BB10C3" w:rsidRDefault="00A1402B" w:rsidP="00B208A9">
            <w:pPr>
              <w:spacing w:before="120"/>
              <w:jc w:val="center"/>
              <w:rPr>
                <w:rFonts w:cs="Arial"/>
                <w:u w:val="single"/>
              </w:rPr>
            </w:pPr>
            <w:r w:rsidRPr="00BB10C3">
              <w:rPr>
                <w:rFonts w:cs="Arial"/>
                <w:u w:val="single"/>
              </w:rPr>
              <w:t>2</w:t>
            </w:r>
          </w:p>
        </w:tc>
      </w:tr>
      <w:tr w:rsidR="00A1402B" w:rsidRPr="00BB10C3" w14:paraId="0202C518" w14:textId="77777777" w:rsidTr="008167FF">
        <w:trPr>
          <w:trHeight w:val="287"/>
        </w:trPr>
        <w:tc>
          <w:tcPr>
            <w:tcW w:w="1978" w:type="dxa"/>
          </w:tcPr>
          <w:p w14:paraId="71E7414E" w14:textId="77777777" w:rsidR="00A1402B" w:rsidRPr="00BB10C3" w:rsidRDefault="00A1402B" w:rsidP="00B208A9">
            <w:pPr>
              <w:spacing w:before="120"/>
              <w:jc w:val="center"/>
              <w:rPr>
                <w:rFonts w:cs="Arial"/>
              </w:rPr>
            </w:pPr>
            <w:r w:rsidRPr="00BB10C3">
              <w:rPr>
                <w:rFonts w:cs="Arial"/>
              </w:rPr>
              <w:t>51-75</w:t>
            </w:r>
          </w:p>
        </w:tc>
        <w:tc>
          <w:tcPr>
            <w:tcW w:w="2707" w:type="dxa"/>
          </w:tcPr>
          <w:p w14:paraId="4FC13F27" w14:textId="77777777" w:rsidR="00A1402B" w:rsidRPr="00BB10C3" w:rsidRDefault="00A1402B" w:rsidP="00B208A9">
            <w:pPr>
              <w:spacing w:before="120"/>
              <w:jc w:val="center"/>
              <w:rPr>
                <w:rFonts w:cs="Arial"/>
              </w:rPr>
            </w:pPr>
            <w:r w:rsidRPr="00BB10C3">
              <w:rPr>
                <w:rFonts w:cs="Arial"/>
              </w:rPr>
              <w:t>12</w:t>
            </w:r>
          </w:p>
        </w:tc>
        <w:tc>
          <w:tcPr>
            <w:tcW w:w="2389" w:type="dxa"/>
          </w:tcPr>
          <w:p w14:paraId="43A091B6" w14:textId="77777777" w:rsidR="00A1402B" w:rsidRPr="00BB10C3" w:rsidRDefault="00A1402B" w:rsidP="00B208A9">
            <w:pPr>
              <w:spacing w:before="120"/>
              <w:jc w:val="center"/>
              <w:rPr>
                <w:rFonts w:cs="Arial"/>
                <w:u w:val="single"/>
              </w:rPr>
            </w:pPr>
            <w:r w:rsidRPr="00BB10C3">
              <w:rPr>
                <w:rFonts w:cs="Arial"/>
                <w:u w:val="single"/>
              </w:rPr>
              <w:t>3</w:t>
            </w:r>
          </w:p>
        </w:tc>
      </w:tr>
      <w:tr w:rsidR="00A1402B" w:rsidRPr="00BB10C3" w14:paraId="41AE586B" w14:textId="77777777" w:rsidTr="008167FF">
        <w:trPr>
          <w:trHeight w:val="314"/>
        </w:trPr>
        <w:tc>
          <w:tcPr>
            <w:tcW w:w="1978" w:type="dxa"/>
          </w:tcPr>
          <w:p w14:paraId="3F4FD241" w14:textId="77777777" w:rsidR="00A1402B" w:rsidRPr="00BB10C3" w:rsidRDefault="00A1402B" w:rsidP="00B208A9">
            <w:pPr>
              <w:spacing w:before="120"/>
              <w:jc w:val="center"/>
              <w:rPr>
                <w:rFonts w:cs="Arial"/>
              </w:rPr>
            </w:pPr>
            <w:r w:rsidRPr="00BB10C3">
              <w:rPr>
                <w:rFonts w:cs="Arial"/>
              </w:rPr>
              <w:t>76-100</w:t>
            </w:r>
          </w:p>
        </w:tc>
        <w:tc>
          <w:tcPr>
            <w:tcW w:w="2707" w:type="dxa"/>
          </w:tcPr>
          <w:p w14:paraId="7441EBB8" w14:textId="77777777" w:rsidR="00A1402B" w:rsidRPr="00BB10C3" w:rsidRDefault="00A1402B" w:rsidP="00B208A9">
            <w:pPr>
              <w:spacing w:before="120"/>
              <w:jc w:val="center"/>
              <w:rPr>
                <w:rFonts w:cs="Arial"/>
                <w:u w:val="single"/>
              </w:rPr>
            </w:pPr>
            <w:r w:rsidRPr="00BB10C3">
              <w:rPr>
                <w:rFonts w:cs="Arial"/>
              </w:rPr>
              <w:t>18</w:t>
            </w:r>
          </w:p>
        </w:tc>
        <w:tc>
          <w:tcPr>
            <w:tcW w:w="2389" w:type="dxa"/>
          </w:tcPr>
          <w:p w14:paraId="1FFCD61A" w14:textId="77777777" w:rsidR="00A1402B" w:rsidRPr="00BB10C3" w:rsidRDefault="00A1402B" w:rsidP="00B208A9">
            <w:pPr>
              <w:spacing w:before="120"/>
              <w:jc w:val="center"/>
              <w:rPr>
                <w:rFonts w:cs="Arial"/>
                <w:u w:val="single"/>
              </w:rPr>
            </w:pPr>
            <w:r w:rsidRPr="00BB10C3">
              <w:rPr>
                <w:rFonts w:cs="Arial"/>
                <w:u w:val="single"/>
              </w:rPr>
              <w:t>5</w:t>
            </w:r>
          </w:p>
        </w:tc>
      </w:tr>
      <w:tr w:rsidR="00A1402B" w:rsidRPr="00BB10C3" w14:paraId="5CB30CC0" w14:textId="77777777" w:rsidTr="008167FF">
        <w:trPr>
          <w:trHeight w:val="260"/>
        </w:trPr>
        <w:tc>
          <w:tcPr>
            <w:tcW w:w="1978" w:type="dxa"/>
          </w:tcPr>
          <w:p w14:paraId="5882EAD2" w14:textId="77777777" w:rsidR="00A1402B" w:rsidRPr="00BB10C3" w:rsidRDefault="00A1402B" w:rsidP="00B208A9">
            <w:pPr>
              <w:spacing w:before="120"/>
              <w:jc w:val="center"/>
              <w:rPr>
                <w:rFonts w:cs="Arial"/>
              </w:rPr>
            </w:pPr>
            <w:r w:rsidRPr="00BB10C3">
              <w:rPr>
                <w:rFonts w:cs="Arial"/>
              </w:rPr>
              <w:t>101-150</w:t>
            </w:r>
          </w:p>
        </w:tc>
        <w:tc>
          <w:tcPr>
            <w:tcW w:w="2707" w:type="dxa"/>
          </w:tcPr>
          <w:p w14:paraId="31774DFC" w14:textId="77777777" w:rsidR="00A1402B" w:rsidRPr="00BB10C3" w:rsidRDefault="00A1402B" w:rsidP="00B208A9">
            <w:pPr>
              <w:spacing w:before="120"/>
              <w:jc w:val="center"/>
              <w:rPr>
                <w:rFonts w:cs="Arial"/>
                <w:u w:val="single"/>
              </w:rPr>
            </w:pPr>
            <w:r w:rsidRPr="00BB10C3">
              <w:rPr>
                <w:rFonts w:cs="Arial"/>
              </w:rPr>
              <w:t>25</w:t>
            </w:r>
          </w:p>
        </w:tc>
        <w:tc>
          <w:tcPr>
            <w:tcW w:w="2389" w:type="dxa"/>
          </w:tcPr>
          <w:p w14:paraId="48F79244" w14:textId="77777777" w:rsidR="00A1402B" w:rsidRPr="00BB10C3" w:rsidRDefault="00A1402B" w:rsidP="00B208A9">
            <w:pPr>
              <w:spacing w:before="120"/>
              <w:jc w:val="center"/>
              <w:rPr>
                <w:rFonts w:cs="Arial"/>
                <w:u w:val="single"/>
              </w:rPr>
            </w:pPr>
            <w:r w:rsidRPr="00BB10C3">
              <w:rPr>
                <w:rFonts w:cs="Arial"/>
                <w:u w:val="single"/>
              </w:rPr>
              <w:t>6</w:t>
            </w:r>
          </w:p>
        </w:tc>
      </w:tr>
      <w:tr w:rsidR="00A1402B" w:rsidRPr="00BB10C3" w14:paraId="095482CE" w14:textId="77777777" w:rsidTr="008167FF">
        <w:trPr>
          <w:trHeight w:val="287"/>
        </w:trPr>
        <w:tc>
          <w:tcPr>
            <w:tcW w:w="1978" w:type="dxa"/>
          </w:tcPr>
          <w:p w14:paraId="5BFCF79E" w14:textId="77777777" w:rsidR="00A1402B" w:rsidRPr="00BB10C3" w:rsidRDefault="00A1402B" w:rsidP="00B208A9">
            <w:pPr>
              <w:spacing w:before="120"/>
              <w:jc w:val="center"/>
              <w:rPr>
                <w:rFonts w:cs="Arial"/>
              </w:rPr>
            </w:pPr>
            <w:r w:rsidRPr="00BB10C3">
              <w:rPr>
                <w:rFonts w:cs="Arial"/>
              </w:rPr>
              <w:t>151-200</w:t>
            </w:r>
          </w:p>
        </w:tc>
        <w:tc>
          <w:tcPr>
            <w:tcW w:w="2707" w:type="dxa"/>
          </w:tcPr>
          <w:p w14:paraId="12B44862" w14:textId="77777777" w:rsidR="00A1402B" w:rsidRPr="00BB10C3" w:rsidRDefault="00A1402B" w:rsidP="00B208A9">
            <w:pPr>
              <w:spacing w:before="120"/>
              <w:jc w:val="center"/>
              <w:rPr>
                <w:rFonts w:cs="Arial"/>
              </w:rPr>
            </w:pPr>
            <w:r w:rsidRPr="00BB10C3">
              <w:rPr>
                <w:rFonts w:cs="Arial"/>
              </w:rPr>
              <w:t>35</w:t>
            </w:r>
          </w:p>
        </w:tc>
        <w:tc>
          <w:tcPr>
            <w:tcW w:w="2389" w:type="dxa"/>
          </w:tcPr>
          <w:p w14:paraId="2949A53B" w14:textId="77777777" w:rsidR="00A1402B" w:rsidRPr="00BB10C3" w:rsidRDefault="00A1402B" w:rsidP="00B208A9">
            <w:pPr>
              <w:spacing w:before="120"/>
              <w:jc w:val="center"/>
              <w:rPr>
                <w:rFonts w:cs="Arial"/>
                <w:u w:val="single"/>
              </w:rPr>
            </w:pPr>
            <w:r w:rsidRPr="00BB10C3">
              <w:rPr>
                <w:rFonts w:cs="Arial"/>
                <w:u w:val="single"/>
              </w:rPr>
              <w:t>9</w:t>
            </w:r>
          </w:p>
        </w:tc>
      </w:tr>
      <w:tr w:rsidR="00A1402B" w:rsidRPr="00646C03" w14:paraId="67959CDE" w14:textId="77777777" w:rsidTr="008167FF">
        <w:trPr>
          <w:trHeight w:val="287"/>
        </w:trPr>
        <w:tc>
          <w:tcPr>
            <w:tcW w:w="1978" w:type="dxa"/>
          </w:tcPr>
          <w:p w14:paraId="0A2ADF6C" w14:textId="77777777" w:rsidR="00A1402B" w:rsidRPr="00BB10C3" w:rsidRDefault="00A1402B" w:rsidP="00B208A9">
            <w:pPr>
              <w:spacing w:before="120"/>
              <w:jc w:val="center"/>
              <w:rPr>
                <w:rFonts w:cs="Arial"/>
              </w:rPr>
            </w:pPr>
            <w:r w:rsidRPr="00BB10C3">
              <w:rPr>
                <w:rFonts w:cs="Arial"/>
              </w:rPr>
              <w:t>201 and over</w:t>
            </w:r>
          </w:p>
        </w:tc>
        <w:tc>
          <w:tcPr>
            <w:tcW w:w="2707" w:type="dxa"/>
          </w:tcPr>
          <w:p w14:paraId="29C9E9C2" w14:textId="77777777" w:rsidR="00A1402B" w:rsidRPr="00BB10C3" w:rsidRDefault="00A1402B" w:rsidP="00B208A9">
            <w:pPr>
              <w:spacing w:before="120"/>
              <w:jc w:val="center"/>
              <w:rPr>
                <w:rFonts w:cs="Arial"/>
              </w:rPr>
            </w:pPr>
            <w:r w:rsidRPr="00BB10C3">
              <w:rPr>
                <w:rFonts w:cs="Arial"/>
              </w:rPr>
              <w:t xml:space="preserve">20 percent of total </w:t>
            </w:r>
            <w:r w:rsidRPr="00BB10C3">
              <w:rPr>
                <w:rFonts w:cs="Arial"/>
                <w:vertAlign w:val="superscript"/>
              </w:rPr>
              <w:t>1</w:t>
            </w:r>
          </w:p>
        </w:tc>
        <w:tc>
          <w:tcPr>
            <w:tcW w:w="2389" w:type="dxa"/>
          </w:tcPr>
          <w:p w14:paraId="421981CE" w14:textId="77777777" w:rsidR="00A1402B" w:rsidRPr="00646C03" w:rsidRDefault="00A1402B" w:rsidP="00B208A9">
            <w:pPr>
              <w:spacing w:before="120"/>
              <w:jc w:val="center"/>
              <w:rPr>
                <w:rFonts w:cs="Arial"/>
                <w:u w:val="single"/>
              </w:rPr>
            </w:pPr>
            <w:r w:rsidRPr="00BB10C3">
              <w:rPr>
                <w:rFonts w:cs="Arial"/>
                <w:u w:val="single"/>
              </w:rPr>
              <w:t>5 percent of total</w:t>
            </w:r>
          </w:p>
        </w:tc>
      </w:tr>
    </w:tbl>
    <w:p w14:paraId="71AFD31A" w14:textId="77777777" w:rsidR="00A1402B" w:rsidRPr="00646C03" w:rsidRDefault="00A1402B" w:rsidP="00A1402B">
      <w:pPr>
        <w:widowControl w:val="0"/>
        <w:numPr>
          <w:ilvl w:val="0"/>
          <w:numId w:val="24"/>
        </w:numPr>
        <w:spacing w:before="120"/>
        <w:jc w:val="center"/>
        <w:rPr>
          <w:rFonts w:cs="Arial"/>
        </w:rPr>
      </w:pPr>
      <w:r w:rsidRPr="00646C03">
        <w:rPr>
          <w:rFonts w:cs="Arial"/>
        </w:rPr>
        <w:t>Calculation for spaces shall be rounded up to the nearest whole number.</w:t>
      </w:r>
    </w:p>
    <w:p w14:paraId="6424B88B" w14:textId="17BBD292" w:rsidR="003C691A" w:rsidRPr="00775FDD" w:rsidRDefault="003C691A" w:rsidP="00A54029">
      <w:pPr>
        <w:rPr>
          <w:rFonts w:cs="Arial"/>
          <w:color w:val="000000"/>
          <w:u w:val="single"/>
        </w:rPr>
      </w:pPr>
    </w:p>
    <w:sectPr w:rsidR="003C691A" w:rsidRPr="00775FDD" w:rsidSect="00CC176B">
      <w:footerReference w:type="default" r:id="rId8"/>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384F" w14:textId="77777777" w:rsidR="008A0C92" w:rsidRDefault="008A0C92">
      <w:r>
        <w:separator/>
      </w:r>
    </w:p>
  </w:endnote>
  <w:endnote w:type="continuationSeparator" w:id="0">
    <w:p w14:paraId="23E67DB4" w14:textId="77777777" w:rsidR="008A0C92" w:rsidRDefault="008A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71043"/>
      <w:docPartObj>
        <w:docPartGallery w:val="Page Numbers (Bottom of Page)"/>
        <w:docPartUnique/>
      </w:docPartObj>
    </w:sdtPr>
    <w:sdtEndPr>
      <w:rPr>
        <w:noProof/>
      </w:rPr>
    </w:sdtEndPr>
    <w:sdtContent>
      <w:p w14:paraId="31566220" w14:textId="091BA1B5" w:rsidR="003B39C7" w:rsidRDefault="003B39C7">
        <w:pPr>
          <w:pStyle w:val="Footer"/>
          <w:jc w:val="center"/>
        </w:pPr>
        <w:r>
          <w:fldChar w:fldCharType="begin"/>
        </w:r>
        <w:r>
          <w:instrText xml:space="preserve"> PAGE   \* MERGEFORMAT </w:instrText>
        </w:r>
        <w:r>
          <w:fldChar w:fldCharType="separate"/>
        </w:r>
        <w:r w:rsidR="0046764B">
          <w:rPr>
            <w:noProof/>
          </w:rPr>
          <w:t>3</w:t>
        </w:r>
        <w:r>
          <w:rPr>
            <w:noProof/>
          </w:rPr>
          <w:fldChar w:fldCharType="end"/>
        </w:r>
      </w:p>
    </w:sdtContent>
  </w:sdt>
  <w:p w14:paraId="59FF2430" w14:textId="534FDFB7" w:rsidR="008541E4" w:rsidRPr="00406B64" w:rsidRDefault="00E43324" w:rsidP="00B50682">
    <w:pPr>
      <w:pStyle w:val="Footer"/>
      <w:tabs>
        <w:tab w:val="left" w:pos="6930"/>
      </w:tabs>
    </w:pPr>
    <w:r w:rsidRPr="00406B64">
      <w:t>CALGreen Workshop 12-9-20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8C8E" w14:textId="77777777" w:rsidR="008A0C92" w:rsidRDefault="008A0C92">
      <w:r>
        <w:separator/>
      </w:r>
    </w:p>
  </w:footnote>
  <w:footnote w:type="continuationSeparator" w:id="0">
    <w:p w14:paraId="3E5CB51D" w14:textId="77777777" w:rsidR="008A0C92" w:rsidRDefault="008A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2CE8"/>
    <w:multiLevelType w:val="hybridMultilevel"/>
    <w:tmpl w:val="148818B0"/>
    <w:lvl w:ilvl="0" w:tplc="7688A9DE">
      <w:start w:val="1"/>
      <w:numFmt w:val="decimal"/>
      <w:lvlText w:val="%1."/>
      <w:lvlJc w:val="left"/>
      <w:pPr>
        <w:ind w:left="533" w:hanging="180"/>
      </w:pPr>
      <w:rPr>
        <w:rFonts w:ascii="Times New Roman" w:eastAsia="Times New Roman" w:hAnsi="Times New Roman" w:cs="Times New Roman" w:hint="default"/>
        <w:spacing w:val="-1"/>
        <w:w w:val="99"/>
        <w:sz w:val="16"/>
        <w:szCs w:val="16"/>
      </w:rPr>
    </w:lvl>
    <w:lvl w:ilvl="1" w:tplc="5100C534">
      <w:start w:val="1"/>
      <w:numFmt w:val="decimal"/>
      <w:lvlText w:val="%2."/>
      <w:lvlJc w:val="left"/>
      <w:pPr>
        <w:ind w:left="1553" w:hanging="238"/>
      </w:pPr>
      <w:rPr>
        <w:rFonts w:ascii="Times New Roman" w:eastAsia="Times New Roman" w:hAnsi="Times New Roman" w:cs="Times New Roman" w:hint="default"/>
        <w:spacing w:val="0"/>
        <w:w w:val="99"/>
        <w:sz w:val="20"/>
        <w:szCs w:val="20"/>
      </w:rPr>
    </w:lvl>
    <w:lvl w:ilvl="2" w:tplc="00A8A878">
      <w:numFmt w:val="bullet"/>
      <w:lvlText w:val="•"/>
      <w:lvlJc w:val="left"/>
      <w:pPr>
        <w:ind w:left="2034" w:hanging="238"/>
      </w:pPr>
      <w:rPr>
        <w:rFonts w:hint="default"/>
      </w:rPr>
    </w:lvl>
    <w:lvl w:ilvl="3" w:tplc="6FBCEA3A">
      <w:numFmt w:val="bullet"/>
      <w:lvlText w:val="•"/>
      <w:lvlJc w:val="left"/>
      <w:pPr>
        <w:ind w:left="2509" w:hanging="238"/>
      </w:pPr>
      <w:rPr>
        <w:rFonts w:hint="default"/>
      </w:rPr>
    </w:lvl>
    <w:lvl w:ilvl="4" w:tplc="7A9EA1B6">
      <w:numFmt w:val="bullet"/>
      <w:lvlText w:val="•"/>
      <w:lvlJc w:val="left"/>
      <w:pPr>
        <w:ind w:left="2984" w:hanging="238"/>
      </w:pPr>
      <w:rPr>
        <w:rFonts w:hint="default"/>
      </w:rPr>
    </w:lvl>
    <w:lvl w:ilvl="5" w:tplc="552E37E0">
      <w:numFmt w:val="bullet"/>
      <w:lvlText w:val="•"/>
      <w:lvlJc w:val="left"/>
      <w:pPr>
        <w:ind w:left="3459" w:hanging="238"/>
      </w:pPr>
      <w:rPr>
        <w:rFonts w:hint="default"/>
      </w:rPr>
    </w:lvl>
    <w:lvl w:ilvl="6" w:tplc="1E3674B6">
      <w:numFmt w:val="bullet"/>
      <w:lvlText w:val="•"/>
      <w:lvlJc w:val="left"/>
      <w:pPr>
        <w:ind w:left="3934" w:hanging="238"/>
      </w:pPr>
      <w:rPr>
        <w:rFonts w:hint="default"/>
      </w:rPr>
    </w:lvl>
    <w:lvl w:ilvl="7" w:tplc="E466A1B6">
      <w:numFmt w:val="bullet"/>
      <w:lvlText w:val="•"/>
      <w:lvlJc w:val="left"/>
      <w:pPr>
        <w:ind w:left="4409" w:hanging="238"/>
      </w:pPr>
      <w:rPr>
        <w:rFonts w:hint="default"/>
      </w:rPr>
    </w:lvl>
    <w:lvl w:ilvl="8" w:tplc="56020554">
      <w:numFmt w:val="bullet"/>
      <w:lvlText w:val="•"/>
      <w:lvlJc w:val="left"/>
      <w:pPr>
        <w:ind w:left="4884" w:hanging="238"/>
      </w:pPr>
      <w:rPr>
        <w:rFonts w:hint="default"/>
      </w:rPr>
    </w:lvl>
  </w:abstractNum>
  <w:abstractNum w:abstractNumId="3"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0075F"/>
    <w:multiLevelType w:val="hybridMultilevel"/>
    <w:tmpl w:val="7DEAE284"/>
    <w:lvl w:ilvl="0" w:tplc="40BCD28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8AC18BE"/>
    <w:multiLevelType w:val="hybridMultilevel"/>
    <w:tmpl w:val="C8A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AE55DF"/>
    <w:multiLevelType w:val="hybridMultilevel"/>
    <w:tmpl w:val="0B1437BA"/>
    <w:lvl w:ilvl="0" w:tplc="56626630">
      <w:start w:val="1"/>
      <w:numFmt w:val="decimal"/>
      <w:lvlText w:val="%1."/>
      <w:lvlJc w:val="left"/>
      <w:pPr>
        <w:ind w:left="1080" w:hanging="360"/>
      </w:pPr>
      <w:rPr>
        <w:rFonts w:hint="default"/>
        <w:color w:val="000000"/>
        <w:sz w:val="1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B1781"/>
    <w:multiLevelType w:val="hybridMultilevel"/>
    <w:tmpl w:val="594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B7C4C"/>
    <w:multiLevelType w:val="hybridMultilevel"/>
    <w:tmpl w:val="C930D986"/>
    <w:lvl w:ilvl="0" w:tplc="71FC53AA">
      <w:start w:val="1"/>
      <w:numFmt w:val="decimal"/>
      <w:lvlText w:val="%1."/>
      <w:lvlJc w:val="left"/>
      <w:pPr>
        <w:tabs>
          <w:tab w:val="num" w:pos="720"/>
        </w:tabs>
        <w:ind w:left="720" w:hanging="360"/>
      </w:pPr>
      <w:rPr>
        <w:rFonts w:cs="Times New Roman" w:hint="default"/>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E7025D"/>
    <w:multiLevelType w:val="hybridMultilevel"/>
    <w:tmpl w:val="F28CAA5E"/>
    <w:lvl w:ilvl="0" w:tplc="5BEE5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E1B393E"/>
    <w:multiLevelType w:val="hybridMultilevel"/>
    <w:tmpl w:val="62E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DF4051"/>
    <w:multiLevelType w:val="hybridMultilevel"/>
    <w:tmpl w:val="EE9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3E413C"/>
    <w:multiLevelType w:val="hybridMultilevel"/>
    <w:tmpl w:val="BC7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21"/>
  </w:num>
  <w:num w:numId="3">
    <w:abstractNumId w:val="13"/>
  </w:num>
  <w:num w:numId="4">
    <w:abstractNumId w:val="1"/>
  </w:num>
  <w:num w:numId="5">
    <w:abstractNumId w:val="23"/>
  </w:num>
  <w:num w:numId="6">
    <w:abstractNumId w:val="10"/>
  </w:num>
  <w:num w:numId="7">
    <w:abstractNumId w:val="6"/>
  </w:num>
  <w:num w:numId="8">
    <w:abstractNumId w:val="11"/>
  </w:num>
  <w:num w:numId="9">
    <w:abstractNumId w:val="12"/>
  </w:num>
  <w:num w:numId="10">
    <w:abstractNumId w:val="18"/>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3"/>
  </w:num>
  <w:num w:numId="16">
    <w:abstractNumId w:val="9"/>
  </w:num>
  <w:num w:numId="17">
    <w:abstractNumId w:val="16"/>
  </w:num>
  <w:num w:numId="18">
    <w:abstractNumId w:val="19"/>
  </w:num>
  <w:num w:numId="19">
    <w:abstractNumId w:val="2"/>
  </w:num>
  <w:num w:numId="20">
    <w:abstractNumId w:val="4"/>
  </w:num>
  <w:num w:numId="21">
    <w:abstractNumId w:val="5"/>
  </w:num>
  <w:num w:numId="22">
    <w:abstractNumId w:val="20"/>
  </w:num>
  <w:num w:numId="23">
    <w:abstractNumId w:val="1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5"/>
    <w:rsid w:val="000062D7"/>
    <w:rsid w:val="00011620"/>
    <w:rsid w:val="0001431E"/>
    <w:rsid w:val="000174B7"/>
    <w:rsid w:val="000217A5"/>
    <w:rsid w:val="000220CB"/>
    <w:rsid w:val="000261E8"/>
    <w:rsid w:val="00026719"/>
    <w:rsid w:val="00030ABD"/>
    <w:rsid w:val="000312AF"/>
    <w:rsid w:val="000360D8"/>
    <w:rsid w:val="00041B7C"/>
    <w:rsid w:val="00043CF0"/>
    <w:rsid w:val="00047CD8"/>
    <w:rsid w:val="00050219"/>
    <w:rsid w:val="0005096F"/>
    <w:rsid w:val="00052220"/>
    <w:rsid w:val="00052B7D"/>
    <w:rsid w:val="000531FB"/>
    <w:rsid w:val="00053572"/>
    <w:rsid w:val="00053D4B"/>
    <w:rsid w:val="00054B19"/>
    <w:rsid w:val="00062C1B"/>
    <w:rsid w:val="000714DD"/>
    <w:rsid w:val="00072D01"/>
    <w:rsid w:val="0007345A"/>
    <w:rsid w:val="00073689"/>
    <w:rsid w:val="0007497D"/>
    <w:rsid w:val="00075656"/>
    <w:rsid w:val="0007683E"/>
    <w:rsid w:val="00080A3E"/>
    <w:rsid w:val="000820B6"/>
    <w:rsid w:val="00082479"/>
    <w:rsid w:val="00082D40"/>
    <w:rsid w:val="000903B9"/>
    <w:rsid w:val="00093139"/>
    <w:rsid w:val="0009320A"/>
    <w:rsid w:val="00093408"/>
    <w:rsid w:val="000943D3"/>
    <w:rsid w:val="00094742"/>
    <w:rsid w:val="00095A8D"/>
    <w:rsid w:val="00097179"/>
    <w:rsid w:val="000976AF"/>
    <w:rsid w:val="000A0149"/>
    <w:rsid w:val="000A3AFC"/>
    <w:rsid w:val="000B490D"/>
    <w:rsid w:val="000B57C9"/>
    <w:rsid w:val="000B69B9"/>
    <w:rsid w:val="000C08B3"/>
    <w:rsid w:val="000C4AFE"/>
    <w:rsid w:val="000C5CFB"/>
    <w:rsid w:val="000D1B36"/>
    <w:rsid w:val="000D2661"/>
    <w:rsid w:val="000D3EEA"/>
    <w:rsid w:val="000D5111"/>
    <w:rsid w:val="000D5D8D"/>
    <w:rsid w:val="000D6A02"/>
    <w:rsid w:val="000D7679"/>
    <w:rsid w:val="000E1303"/>
    <w:rsid w:val="000E5B8C"/>
    <w:rsid w:val="000E5F3B"/>
    <w:rsid w:val="000E6739"/>
    <w:rsid w:val="000E7C2F"/>
    <w:rsid w:val="000E7F1A"/>
    <w:rsid w:val="000F3548"/>
    <w:rsid w:val="000F3C16"/>
    <w:rsid w:val="000F456D"/>
    <w:rsid w:val="000F4651"/>
    <w:rsid w:val="000F5401"/>
    <w:rsid w:val="000F6D55"/>
    <w:rsid w:val="00100671"/>
    <w:rsid w:val="00101E10"/>
    <w:rsid w:val="001023CD"/>
    <w:rsid w:val="00102AC7"/>
    <w:rsid w:val="0011087B"/>
    <w:rsid w:val="00112F38"/>
    <w:rsid w:val="001137D8"/>
    <w:rsid w:val="00115C8B"/>
    <w:rsid w:val="00116018"/>
    <w:rsid w:val="00116330"/>
    <w:rsid w:val="00116AA1"/>
    <w:rsid w:val="00117F21"/>
    <w:rsid w:val="00125E83"/>
    <w:rsid w:val="0012665A"/>
    <w:rsid w:val="00130466"/>
    <w:rsid w:val="00130E52"/>
    <w:rsid w:val="00131AEF"/>
    <w:rsid w:val="00131AF6"/>
    <w:rsid w:val="001333CC"/>
    <w:rsid w:val="00135237"/>
    <w:rsid w:val="00135C0C"/>
    <w:rsid w:val="00135ED9"/>
    <w:rsid w:val="0013685A"/>
    <w:rsid w:val="00137229"/>
    <w:rsid w:val="00137A0D"/>
    <w:rsid w:val="00140723"/>
    <w:rsid w:val="0014512B"/>
    <w:rsid w:val="00151545"/>
    <w:rsid w:val="0015575A"/>
    <w:rsid w:val="0015724F"/>
    <w:rsid w:val="001578B4"/>
    <w:rsid w:val="00160B49"/>
    <w:rsid w:val="0016250E"/>
    <w:rsid w:val="001626C6"/>
    <w:rsid w:val="00165E8D"/>
    <w:rsid w:val="00166294"/>
    <w:rsid w:val="00167058"/>
    <w:rsid w:val="001713D0"/>
    <w:rsid w:val="001713E8"/>
    <w:rsid w:val="00171CFC"/>
    <w:rsid w:val="0017213B"/>
    <w:rsid w:val="001731BC"/>
    <w:rsid w:val="001761BA"/>
    <w:rsid w:val="00180B18"/>
    <w:rsid w:val="00184774"/>
    <w:rsid w:val="00191E4B"/>
    <w:rsid w:val="00192142"/>
    <w:rsid w:val="00194DAA"/>
    <w:rsid w:val="00195BC9"/>
    <w:rsid w:val="00196EB8"/>
    <w:rsid w:val="00197C37"/>
    <w:rsid w:val="001A0CA9"/>
    <w:rsid w:val="001A292E"/>
    <w:rsid w:val="001A33B4"/>
    <w:rsid w:val="001A3E53"/>
    <w:rsid w:val="001A5C27"/>
    <w:rsid w:val="001B697E"/>
    <w:rsid w:val="001B700B"/>
    <w:rsid w:val="001C16C6"/>
    <w:rsid w:val="001C230A"/>
    <w:rsid w:val="001C47BC"/>
    <w:rsid w:val="001C7201"/>
    <w:rsid w:val="001D06DE"/>
    <w:rsid w:val="001D0C6B"/>
    <w:rsid w:val="001D77BF"/>
    <w:rsid w:val="001E130F"/>
    <w:rsid w:val="001E6EE7"/>
    <w:rsid w:val="001F2A39"/>
    <w:rsid w:val="00200D05"/>
    <w:rsid w:val="00202484"/>
    <w:rsid w:val="002030E0"/>
    <w:rsid w:val="002035D1"/>
    <w:rsid w:val="002042F4"/>
    <w:rsid w:val="00206517"/>
    <w:rsid w:val="00210734"/>
    <w:rsid w:val="00210B51"/>
    <w:rsid w:val="00210DED"/>
    <w:rsid w:val="00210F3A"/>
    <w:rsid w:val="002128CB"/>
    <w:rsid w:val="00213907"/>
    <w:rsid w:val="00214980"/>
    <w:rsid w:val="0021541D"/>
    <w:rsid w:val="002161E9"/>
    <w:rsid w:val="0021634E"/>
    <w:rsid w:val="002172E4"/>
    <w:rsid w:val="00217721"/>
    <w:rsid w:val="0022007F"/>
    <w:rsid w:val="002210B5"/>
    <w:rsid w:val="00221C63"/>
    <w:rsid w:val="002231F3"/>
    <w:rsid w:val="0022555B"/>
    <w:rsid w:val="00226B62"/>
    <w:rsid w:val="002320B2"/>
    <w:rsid w:val="00240A1A"/>
    <w:rsid w:val="00241DAF"/>
    <w:rsid w:val="002500AE"/>
    <w:rsid w:val="00250F84"/>
    <w:rsid w:val="0025253E"/>
    <w:rsid w:val="002551B5"/>
    <w:rsid w:val="00255A28"/>
    <w:rsid w:val="00255C24"/>
    <w:rsid w:val="0025682E"/>
    <w:rsid w:val="00265C59"/>
    <w:rsid w:val="002679E3"/>
    <w:rsid w:val="002708BF"/>
    <w:rsid w:val="00270C62"/>
    <w:rsid w:val="002724CB"/>
    <w:rsid w:val="00274032"/>
    <w:rsid w:val="002757FA"/>
    <w:rsid w:val="0027706D"/>
    <w:rsid w:val="00284047"/>
    <w:rsid w:val="002874D0"/>
    <w:rsid w:val="002879AD"/>
    <w:rsid w:val="002902C2"/>
    <w:rsid w:val="00290947"/>
    <w:rsid w:val="00293304"/>
    <w:rsid w:val="00293507"/>
    <w:rsid w:val="00295D32"/>
    <w:rsid w:val="002A5C37"/>
    <w:rsid w:val="002B0D7B"/>
    <w:rsid w:val="002B2317"/>
    <w:rsid w:val="002B5DFA"/>
    <w:rsid w:val="002B5F72"/>
    <w:rsid w:val="002B613C"/>
    <w:rsid w:val="002B7E03"/>
    <w:rsid w:val="002C6AE3"/>
    <w:rsid w:val="002C7D5D"/>
    <w:rsid w:val="002D0B08"/>
    <w:rsid w:val="002D2A82"/>
    <w:rsid w:val="002D4DBA"/>
    <w:rsid w:val="002E2D9D"/>
    <w:rsid w:val="002F0DEE"/>
    <w:rsid w:val="002F1370"/>
    <w:rsid w:val="002F1475"/>
    <w:rsid w:val="002F2DA0"/>
    <w:rsid w:val="002F558F"/>
    <w:rsid w:val="003007D5"/>
    <w:rsid w:val="0030222B"/>
    <w:rsid w:val="00303AD3"/>
    <w:rsid w:val="0031331C"/>
    <w:rsid w:val="00315E00"/>
    <w:rsid w:val="00317371"/>
    <w:rsid w:val="00320615"/>
    <w:rsid w:val="003259FA"/>
    <w:rsid w:val="00330CB8"/>
    <w:rsid w:val="00330D46"/>
    <w:rsid w:val="00331199"/>
    <w:rsid w:val="0033191E"/>
    <w:rsid w:val="00333A53"/>
    <w:rsid w:val="003350E6"/>
    <w:rsid w:val="003376E2"/>
    <w:rsid w:val="00337B03"/>
    <w:rsid w:val="00342746"/>
    <w:rsid w:val="00343D1A"/>
    <w:rsid w:val="0034573B"/>
    <w:rsid w:val="00346F24"/>
    <w:rsid w:val="00354268"/>
    <w:rsid w:val="00354856"/>
    <w:rsid w:val="00354B73"/>
    <w:rsid w:val="003568DA"/>
    <w:rsid w:val="0036486C"/>
    <w:rsid w:val="00364F53"/>
    <w:rsid w:val="00366633"/>
    <w:rsid w:val="003676FA"/>
    <w:rsid w:val="00367942"/>
    <w:rsid w:val="00367C85"/>
    <w:rsid w:val="00367EB3"/>
    <w:rsid w:val="00372B04"/>
    <w:rsid w:val="00373D53"/>
    <w:rsid w:val="00375D61"/>
    <w:rsid w:val="00375EA6"/>
    <w:rsid w:val="003801E3"/>
    <w:rsid w:val="00380715"/>
    <w:rsid w:val="003808ED"/>
    <w:rsid w:val="00382111"/>
    <w:rsid w:val="003826F2"/>
    <w:rsid w:val="00385F8E"/>
    <w:rsid w:val="003958B2"/>
    <w:rsid w:val="003A0EDD"/>
    <w:rsid w:val="003A563A"/>
    <w:rsid w:val="003A67AA"/>
    <w:rsid w:val="003A6CDB"/>
    <w:rsid w:val="003B00FC"/>
    <w:rsid w:val="003B0D04"/>
    <w:rsid w:val="003B12C6"/>
    <w:rsid w:val="003B39C7"/>
    <w:rsid w:val="003B4590"/>
    <w:rsid w:val="003C14E3"/>
    <w:rsid w:val="003C14F5"/>
    <w:rsid w:val="003C17CA"/>
    <w:rsid w:val="003C245B"/>
    <w:rsid w:val="003C4FB7"/>
    <w:rsid w:val="003C691A"/>
    <w:rsid w:val="003D24F4"/>
    <w:rsid w:val="003D4627"/>
    <w:rsid w:val="003D6411"/>
    <w:rsid w:val="003E19BA"/>
    <w:rsid w:val="003E221F"/>
    <w:rsid w:val="003E36A4"/>
    <w:rsid w:val="003E68AE"/>
    <w:rsid w:val="003F0352"/>
    <w:rsid w:val="003F1639"/>
    <w:rsid w:val="003F2BEA"/>
    <w:rsid w:val="003F37B8"/>
    <w:rsid w:val="003F3A01"/>
    <w:rsid w:val="003F3DA7"/>
    <w:rsid w:val="003F41C6"/>
    <w:rsid w:val="003F6FD8"/>
    <w:rsid w:val="003F7188"/>
    <w:rsid w:val="003F7994"/>
    <w:rsid w:val="003F7BF9"/>
    <w:rsid w:val="0040016D"/>
    <w:rsid w:val="00402B14"/>
    <w:rsid w:val="00406B64"/>
    <w:rsid w:val="00407134"/>
    <w:rsid w:val="00407C3A"/>
    <w:rsid w:val="00410428"/>
    <w:rsid w:val="00410A45"/>
    <w:rsid w:val="00411169"/>
    <w:rsid w:val="00413C68"/>
    <w:rsid w:val="00414C72"/>
    <w:rsid w:val="0041552D"/>
    <w:rsid w:val="00415B4B"/>
    <w:rsid w:val="00416F74"/>
    <w:rsid w:val="00416F95"/>
    <w:rsid w:val="00422459"/>
    <w:rsid w:val="00424BE6"/>
    <w:rsid w:val="00425D34"/>
    <w:rsid w:val="004278DD"/>
    <w:rsid w:val="00433F57"/>
    <w:rsid w:val="004356C4"/>
    <w:rsid w:val="00444555"/>
    <w:rsid w:val="00445C8E"/>
    <w:rsid w:val="00445FA4"/>
    <w:rsid w:val="0045196A"/>
    <w:rsid w:val="00453FE8"/>
    <w:rsid w:val="004549CA"/>
    <w:rsid w:val="00455338"/>
    <w:rsid w:val="00456326"/>
    <w:rsid w:val="00457C75"/>
    <w:rsid w:val="00460A18"/>
    <w:rsid w:val="00461876"/>
    <w:rsid w:val="00461C49"/>
    <w:rsid w:val="00463846"/>
    <w:rsid w:val="00465CBF"/>
    <w:rsid w:val="0046764B"/>
    <w:rsid w:val="00470366"/>
    <w:rsid w:val="00470D7A"/>
    <w:rsid w:val="0047135D"/>
    <w:rsid w:val="00473C2C"/>
    <w:rsid w:val="00474071"/>
    <w:rsid w:val="00476AAB"/>
    <w:rsid w:val="00477FA7"/>
    <w:rsid w:val="004806C6"/>
    <w:rsid w:val="00480D42"/>
    <w:rsid w:val="00483759"/>
    <w:rsid w:val="00484106"/>
    <w:rsid w:val="00485A67"/>
    <w:rsid w:val="00486909"/>
    <w:rsid w:val="00491636"/>
    <w:rsid w:val="004918EF"/>
    <w:rsid w:val="00493CCC"/>
    <w:rsid w:val="00494423"/>
    <w:rsid w:val="00494596"/>
    <w:rsid w:val="00495530"/>
    <w:rsid w:val="00495BE3"/>
    <w:rsid w:val="00496B15"/>
    <w:rsid w:val="004A16C0"/>
    <w:rsid w:val="004A267A"/>
    <w:rsid w:val="004A29FB"/>
    <w:rsid w:val="004A6D23"/>
    <w:rsid w:val="004A7AEB"/>
    <w:rsid w:val="004B05E6"/>
    <w:rsid w:val="004B1F79"/>
    <w:rsid w:val="004B3313"/>
    <w:rsid w:val="004B593E"/>
    <w:rsid w:val="004B7803"/>
    <w:rsid w:val="004B7EA8"/>
    <w:rsid w:val="004C292B"/>
    <w:rsid w:val="004C3A80"/>
    <w:rsid w:val="004C5FA7"/>
    <w:rsid w:val="004C631B"/>
    <w:rsid w:val="004C65CE"/>
    <w:rsid w:val="004C6EC5"/>
    <w:rsid w:val="004C79DB"/>
    <w:rsid w:val="004D0B86"/>
    <w:rsid w:val="004D115D"/>
    <w:rsid w:val="004D1E68"/>
    <w:rsid w:val="004D48E0"/>
    <w:rsid w:val="004D4AFF"/>
    <w:rsid w:val="004D61E1"/>
    <w:rsid w:val="004E01C6"/>
    <w:rsid w:val="004E29E6"/>
    <w:rsid w:val="004E54A3"/>
    <w:rsid w:val="004E7EF2"/>
    <w:rsid w:val="004F00D1"/>
    <w:rsid w:val="004F0123"/>
    <w:rsid w:val="004F028A"/>
    <w:rsid w:val="004F0EB0"/>
    <w:rsid w:val="004F42D5"/>
    <w:rsid w:val="004F461B"/>
    <w:rsid w:val="005012C4"/>
    <w:rsid w:val="005026C5"/>
    <w:rsid w:val="0050548D"/>
    <w:rsid w:val="005073C6"/>
    <w:rsid w:val="00512B3B"/>
    <w:rsid w:val="00512BE3"/>
    <w:rsid w:val="00514101"/>
    <w:rsid w:val="00516167"/>
    <w:rsid w:val="005167AD"/>
    <w:rsid w:val="0052036F"/>
    <w:rsid w:val="00520D62"/>
    <w:rsid w:val="0052196A"/>
    <w:rsid w:val="00526538"/>
    <w:rsid w:val="00531A00"/>
    <w:rsid w:val="00533110"/>
    <w:rsid w:val="005334D0"/>
    <w:rsid w:val="00543CD1"/>
    <w:rsid w:val="00547B4B"/>
    <w:rsid w:val="005504B6"/>
    <w:rsid w:val="00560C5F"/>
    <w:rsid w:val="00571335"/>
    <w:rsid w:val="005749A2"/>
    <w:rsid w:val="00574EE8"/>
    <w:rsid w:val="005764ED"/>
    <w:rsid w:val="005804E7"/>
    <w:rsid w:val="005818FB"/>
    <w:rsid w:val="005827E3"/>
    <w:rsid w:val="00582FFA"/>
    <w:rsid w:val="00583A2C"/>
    <w:rsid w:val="005844F7"/>
    <w:rsid w:val="00584818"/>
    <w:rsid w:val="005919D8"/>
    <w:rsid w:val="00591D41"/>
    <w:rsid w:val="0059472F"/>
    <w:rsid w:val="0059487B"/>
    <w:rsid w:val="00594F52"/>
    <w:rsid w:val="00596F53"/>
    <w:rsid w:val="00597A7F"/>
    <w:rsid w:val="005A0008"/>
    <w:rsid w:val="005A3E32"/>
    <w:rsid w:val="005A622E"/>
    <w:rsid w:val="005A6982"/>
    <w:rsid w:val="005A6E67"/>
    <w:rsid w:val="005B1B54"/>
    <w:rsid w:val="005B4203"/>
    <w:rsid w:val="005B6044"/>
    <w:rsid w:val="005B63CE"/>
    <w:rsid w:val="005B6D94"/>
    <w:rsid w:val="005B7823"/>
    <w:rsid w:val="005C1E65"/>
    <w:rsid w:val="005C2CDD"/>
    <w:rsid w:val="005C5E7C"/>
    <w:rsid w:val="005D03BF"/>
    <w:rsid w:val="005D720E"/>
    <w:rsid w:val="005E2F73"/>
    <w:rsid w:val="005E33D3"/>
    <w:rsid w:val="005E3A9B"/>
    <w:rsid w:val="005E3E2E"/>
    <w:rsid w:val="005E4906"/>
    <w:rsid w:val="005E77CA"/>
    <w:rsid w:val="005E78A8"/>
    <w:rsid w:val="005E7980"/>
    <w:rsid w:val="005F0A92"/>
    <w:rsid w:val="005F2E2E"/>
    <w:rsid w:val="00603198"/>
    <w:rsid w:val="006032F9"/>
    <w:rsid w:val="006040EA"/>
    <w:rsid w:val="006054F3"/>
    <w:rsid w:val="006055E6"/>
    <w:rsid w:val="00607770"/>
    <w:rsid w:val="006116E7"/>
    <w:rsid w:val="00611B47"/>
    <w:rsid w:val="00621140"/>
    <w:rsid w:val="006213D1"/>
    <w:rsid w:val="00622A2D"/>
    <w:rsid w:val="00622F6F"/>
    <w:rsid w:val="00622F76"/>
    <w:rsid w:val="00624090"/>
    <w:rsid w:val="0063220B"/>
    <w:rsid w:val="00633F3A"/>
    <w:rsid w:val="00633FB4"/>
    <w:rsid w:val="006346EC"/>
    <w:rsid w:val="00634980"/>
    <w:rsid w:val="00637803"/>
    <w:rsid w:val="00640139"/>
    <w:rsid w:val="00640207"/>
    <w:rsid w:val="00640A44"/>
    <w:rsid w:val="006410F0"/>
    <w:rsid w:val="00642EC9"/>
    <w:rsid w:val="00643203"/>
    <w:rsid w:val="006469C7"/>
    <w:rsid w:val="006474C2"/>
    <w:rsid w:val="00647EB9"/>
    <w:rsid w:val="0065122C"/>
    <w:rsid w:val="00653B20"/>
    <w:rsid w:val="00655F61"/>
    <w:rsid w:val="006567A5"/>
    <w:rsid w:val="00656AC0"/>
    <w:rsid w:val="00663219"/>
    <w:rsid w:val="00664C7D"/>
    <w:rsid w:val="00665E89"/>
    <w:rsid w:val="006737C1"/>
    <w:rsid w:val="00674ECA"/>
    <w:rsid w:val="006777AF"/>
    <w:rsid w:val="0068015D"/>
    <w:rsid w:val="00680AEF"/>
    <w:rsid w:val="00681B3F"/>
    <w:rsid w:val="006860E8"/>
    <w:rsid w:val="006875DD"/>
    <w:rsid w:val="00693430"/>
    <w:rsid w:val="0069393C"/>
    <w:rsid w:val="00697BE7"/>
    <w:rsid w:val="006A04D8"/>
    <w:rsid w:val="006A3752"/>
    <w:rsid w:val="006A7E3D"/>
    <w:rsid w:val="006B19E4"/>
    <w:rsid w:val="006B211B"/>
    <w:rsid w:val="006B26C3"/>
    <w:rsid w:val="006B371D"/>
    <w:rsid w:val="006B57D4"/>
    <w:rsid w:val="006B60B1"/>
    <w:rsid w:val="006B61C6"/>
    <w:rsid w:val="006B775D"/>
    <w:rsid w:val="006C0D75"/>
    <w:rsid w:val="006C3562"/>
    <w:rsid w:val="006C439B"/>
    <w:rsid w:val="006C57EB"/>
    <w:rsid w:val="006D343D"/>
    <w:rsid w:val="006D5ED3"/>
    <w:rsid w:val="006D6F5C"/>
    <w:rsid w:val="006F06CF"/>
    <w:rsid w:val="006F2AF6"/>
    <w:rsid w:val="006F3C8D"/>
    <w:rsid w:val="006F4274"/>
    <w:rsid w:val="00705345"/>
    <w:rsid w:val="0070559E"/>
    <w:rsid w:val="00711017"/>
    <w:rsid w:val="007113E9"/>
    <w:rsid w:val="00711CDF"/>
    <w:rsid w:val="0071201B"/>
    <w:rsid w:val="00713768"/>
    <w:rsid w:val="00714092"/>
    <w:rsid w:val="00716D3D"/>
    <w:rsid w:val="00726C0B"/>
    <w:rsid w:val="00726CB3"/>
    <w:rsid w:val="00727B87"/>
    <w:rsid w:val="00727F64"/>
    <w:rsid w:val="0073049C"/>
    <w:rsid w:val="00730683"/>
    <w:rsid w:val="007310D6"/>
    <w:rsid w:val="007336B6"/>
    <w:rsid w:val="00735410"/>
    <w:rsid w:val="00736165"/>
    <w:rsid w:val="00736F17"/>
    <w:rsid w:val="007376F9"/>
    <w:rsid w:val="00740011"/>
    <w:rsid w:val="00742B7E"/>
    <w:rsid w:val="00742BFB"/>
    <w:rsid w:val="0074450E"/>
    <w:rsid w:val="0074561A"/>
    <w:rsid w:val="007520F5"/>
    <w:rsid w:val="00754DF0"/>
    <w:rsid w:val="007566C5"/>
    <w:rsid w:val="00756F17"/>
    <w:rsid w:val="00757063"/>
    <w:rsid w:val="00757DF8"/>
    <w:rsid w:val="007607F1"/>
    <w:rsid w:val="007619C8"/>
    <w:rsid w:val="00761E54"/>
    <w:rsid w:val="00763039"/>
    <w:rsid w:val="0076332A"/>
    <w:rsid w:val="00764FF4"/>
    <w:rsid w:val="00771E2F"/>
    <w:rsid w:val="00772E80"/>
    <w:rsid w:val="00775FDD"/>
    <w:rsid w:val="007772C2"/>
    <w:rsid w:val="007818F5"/>
    <w:rsid w:val="00782DDB"/>
    <w:rsid w:val="00783D3F"/>
    <w:rsid w:val="00786E15"/>
    <w:rsid w:val="007872EE"/>
    <w:rsid w:val="00790869"/>
    <w:rsid w:val="007938B6"/>
    <w:rsid w:val="00793C39"/>
    <w:rsid w:val="00793C7E"/>
    <w:rsid w:val="007946FE"/>
    <w:rsid w:val="00796ADA"/>
    <w:rsid w:val="007A28BF"/>
    <w:rsid w:val="007A6B25"/>
    <w:rsid w:val="007B5343"/>
    <w:rsid w:val="007B73B8"/>
    <w:rsid w:val="007C0C52"/>
    <w:rsid w:val="007C317F"/>
    <w:rsid w:val="007C3DE3"/>
    <w:rsid w:val="007C4CD3"/>
    <w:rsid w:val="007D33BC"/>
    <w:rsid w:val="007D68EB"/>
    <w:rsid w:val="007D7402"/>
    <w:rsid w:val="007E0950"/>
    <w:rsid w:val="007E0FD0"/>
    <w:rsid w:val="007E3EF1"/>
    <w:rsid w:val="007E4F7B"/>
    <w:rsid w:val="007E6744"/>
    <w:rsid w:val="007E726B"/>
    <w:rsid w:val="007F0001"/>
    <w:rsid w:val="007F0AE3"/>
    <w:rsid w:val="007F6DE6"/>
    <w:rsid w:val="007F6F29"/>
    <w:rsid w:val="0080346F"/>
    <w:rsid w:val="00807711"/>
    <w:rsid w:val="00807F8E"/>
    <w:rsid w:val="00811DEF"/>
    <w:rsid w:val="00813EB7"/>
    <w:rsid w:val="0081484E"/>
    <w:rsid w:val="00815BF3"/>
    <w:rsid w:val="00815D33"/>
    <w:rsid w:val="008163C1"/>
    <w:rsid w:val="008167FF"/>
    <w:rsid w:val="00822236"/>
    <w:rsid w:val="00824267"/>
    <w:rsid w:val="00824F90"/>
    <w:rsid w:val="0082596D"/>
    <w:rsid w:val="008268B7"/>
    <w:rsid w:val="00830D24"/>
    <w:rsid w:val="00830DC9"/>
    <w:rsid w:val="00834FFB"/>
    <w:rsid w:val="00835CCD"/>
    <w:rsid w:val="00837840"/>
    <w:rsid w:val="0084057E"/>
    <w:rsid w:val="008511E3"/>
    <w:rsid w:val="00851680"/>
    <w:rsid w:val="00852958"/>
    <w:rsid w:val="008541E4"/>
    <w:rsid w:val="00854528"/>
    <w:rsid w:val="00856975"/>
    <w:rsid w:val="00856AEF"/>
    <w:rsid w:val="00861991"/>
    <w:rsid w:val="0086273C"/>
    <w:rsid w:val="008655E9"/>
    <w:rsid w:val="008674D0"/>
    <w:rsid w:val="00873F10"/>
    <w:rsid w:val="00875F2A"/>
    <w:rsid w:val="00877007"/>
    <w:rsid w:val="008803F9"/>
    <w:rsid w:val="00881E55"/>
    <w:rsid w:val="008840AA"/>
    <w:rsid w:val="00896439"/>
    <w:rsid w:val="008A072A"/>
    <w:rsid w:val="008A0C92"/>
    <w:rsid w:val="008A2852"/>
    <w:rsid w:val="008A7977"/>
    <w:rsid w:val="008B2490"/>
    <w:rsid w:val="008B442F"/>
    <w:rsid w:val="008B546C"/>
    <w:rsid w:val="008B579B"/>
    <w:rsid w:val="008B6FAD"/>
    <w:rsid w:val="008C0A6B"/>
    <w:rsid w:val="008C0C3A"/>
    <w:rsid w:val="008C0E1F"/>
    <w:rsid w:val="008C16D4"/>
    <w:rsid w:val="008C18DA"/>
    <w:rsid w:val="008C1E45"/>
    <w:rsid w:val="008C34AE"/>
    <w:rsid w:val="008C3514"/>
    <w:rsid w:val="008C684D"/>
    <w:rsid w:val="008C7100"/>
    <w:rsid w:val="008C7B0C"/>
    <w:rsid w:val="008C7F0A"/>
    <w:rsid w:val="008D270F"/>
    <w:rsid w:val="008D4D74"/>
    <w:rsid w:val="008D6148"/>
    <w:rsid w:val="008D6461"/>
    <w:rsid w:val="008D7FEB"/>
    <w:rsid w:val="008E06AD"/>
    <w:rsid w:val="008E08DC"/>
    <w:rsid w:val="008E1E96"/>
    <w:rsid w:val="008E2E72"/>
    <w:rsid w:val="008E2E8E"/>
    <w:rsid w:val="008E70FF"/>
    <w:rsid w:val="008E7C2C"/>
    <w:rsid w:val="008F5D4D"/>
    <w:rsid w:val="008F6E83"/>
    <w:rsid w:val="00904807"/>
    <w:rsid w:val="00911C6E"/>
    <w:rsid w:val="009125EC"/>
    <w:rsid w:val="0091310E"/>
    <w:rsid w:val="009135A1"/>
    <w:rsid w:val="00914003"/>
    <w:rsid w:val="00921986"/>
    <w:rsid w:val="00922CCD"/>
    <w:rsid w:val="00923AE1"/>
    <w:rsid w:val="0092402F"/>
    <w:rsid w:val="0092526A"/>
    <w:rsid w:val="009257AF"/>
    <w:rsid w:val="00927470"/>
    <w:rsid w:val="0093340E"/>
    <w:rsid w:val="00936BDC"/>
    <w:rsid w:val="00940A34"/>
    <w:rsid w:val="0094110E"/>
    <w:rsid w:val="00941D72"/>
    <w:rsid w:val="009421B1"/>
    <w:rsid w:val="0095562E"/>
    <w:rsid w:val="00965C9D"/>
    <w:rsid w:val="00967441"/>
    <w:rsid w:val="00967849"/>
    <w:rsid w:val="00971C2C"/>
    <w:rsid w:val="009725BF"/>
    <w:rsid w:val="00972D4B"/>
    <w:rsid w:val="00973E25"/>
    <w:rsid w:val="009750AF"/>
    <w:rsid w:val="0098030A"/>
    <w:rsid w:val="00981BD6"/>
    <w:rsid w:val="00986E1D"/>
    <w:rsid w:val="00991927"/>
    <w:rsid w:val="00992229"/>
    <w:rsid w:val="00994B0D"/>
    <w:rsid w:val="009956F1"/>
    <w:rsid w:val="009A0E88"/>
    <w:rsid w:val="009A55B6"/>
    <w:rsid w:val="009B2CD1"/>
    <w:rsid w:val="009B5795"/>
    <w:rsid w:val="009C09F6"/>
    <w:rsid w:val="009C0F40"/>
    <w:rsid w:val="009C137D"/>
    <w:rsid w:val="009C2202"/>
    <w:rsid w:val="009C2706"/>
    <w:rsid w:val="009C3A79"/>
    <w:rsid w:val="009C3DE8"/>
    <w:rsid w:val="009C5C85"/>
    <w:rsid w:val="009C7FB3"/>
    <w:rsid w:val="009D4CE0"/>
    <w:rsid w:val="009D6A09"/>
    <w:rsid w:val="009D7453"/>
    <w:rsid w:val="009D74D2"/>
    <w:rsid w:val="009D7813"/>
    <w:rsid w:val="009E2541"/>
    <w:rsid w:val="009E56DF"/>
    <w:rsid w:val="009F1488"/>
    <w:rsid w:val="009F4505"/>
    <w:rsid w:val="00A00112"/>
    <w:rsid w:val="00A036BD"/>
    <w:rsid w:val="00A05DF1"/>
    <w:rsid w:val="00A128AA"/>
    <w:rsid w:val="00A13622"/>
    <w:rsid w:val="00A136EE"/>
    <w:rsid w:val="00A1402B"/>
    <w:rsid w:val="00A166E5"/>
    <w:rsid w:val="00A176E8"/>
    <w:rsid w:val="00A17CA7"/>
    <w:rsid w:val="00A2038F"/>
    <w:rsid w:val="00A210C7"/>
    <w:rsid w:val="00A246F7"/>
    <w:rsid w:val="00A30110"/>
    <w:rsid w:val="00A31203"/>
    <w:rsid w:val="00A31F81"/>
    <w:rsid w:val="00A3416F"/>
    <w:rsid w:val="00A34808"/>
    <w:rsid w:val="00A43099"/>
    <w:rsid w:val="00A430FC"/>
    <w:rsid w:val="00A44C8A"/>
    <w:rsid w:val="00A44E54"/>
    <w:rsid w:val="00A50523"/>
    <w:rsid w:val="00A5167D"/>
    <w:rsid w:val="00A527E3"/>
    <w:rsid w:val="00A5329E"/>
    <w:rsid w:val="00A54029"/>
    <w:rsid w:val="00A549AE"/>
    <w:rsid w:val="00A55A3C"/>
    <w:rsid w:val="00A57FA6"/>
    <w:rsid w:val="00A60324"/>
    <w:rsid w:val="00A628E5"/>
    <w:rsid w:val="00A62CCA"/>
    <w:rsid w:val="00A65D95"/>
    <w:rsid w:val="00A70DFE"/>
    <w:rsid w:val="00A72093"/>
    <w:rsid w:val="00A7569C"/>
    <w:rsid w:val="00A81C94"/>
    <w:rsid w:val="00A81F67"/>
    <w:rsid w:val="00A8394A"/>
    <w:rsid w:val="00A840C7"/>
    <w:rsid w:val="00A8594C"/>
    <w:rsid w:val="00A86B51"/>
    <w:rsid w:val="00A920B6"/>
    <w:rsid w:val="00A95818"/>
    <w:rsid w:val="00A969FC"/>
    <w:rsid w:val="00A9703C"/>
    <w:rsid w:val="00AA0F97"/>
    <w:rsid w:val="00AA37B7"/>
    <w:rsid w:val="00AA44AE"/>
    <w:rsid w:val="00AA7802"/>
    <w:rsid w:val="00AB2147"/>
    <w:rsid w:val="00AB302E"/>
    <w:rsid w:val="00AB3C74"/>
    <w:rsid w:val="00AB7074"/>
    <w:rsid w:val="00AC3C1A"/>
    <w:rsid w:val="00AC42F0"/>
    <w:rsid w:val="00AD19F0"/>
    <w:rsid w:val="00AD22F0"/>
    <w:rsid w:val="00AD51F7"/>
    <w:rsid w:val="00AD560D"/>
    <w:rsid w:val="00AE2EEA"/>
    <w:rsid w:val="00AE5178"/>
    <w:rsid w:val="00AE53A9"/>
    <w:rsid w:val="00AE61D9"/>
    <w:rsid w:val="00AE7DC2"/>
    <w:rsid w:val="00AF0C73"/>
    <w:rsid w:val="00AF13D2"/>
    <w:rsid w:val="00AF4F0B"/>
    <w:rsid w:val="00B021EE"/>
    <w:rsid w:val="00B03357"/>
    <w:rsid w:val="00B03F53"/>
    <w:rsid w:val="00B112CB"/>
    <w:rsid w:val="00B11BBD"/>
    <w:rsid w:val="00B12BED"/>
    <w:rsid w:val="00B157CE"/>
    <w:rsid w:val="00B16839"/>
    <w:rsid w:val="00B23744"/>
    <w:rsid w:val="00B239AF"/>
    <w:rsid w:val="00B27111"/>
    <w:rsid w:val="00B32523"/>
    <w:rsid w:val="00B34B8D"/>
    <w:rsid w:val="00B42B54"/>
    <w:rsid w:val="00B45365"/>
    <w:rsid w:val="00B47EE4"/>
    <w:rsid w:val="00B50682"/>
    <w:rsid w:val="00B507B4"/>
    <w:rsid w:val="00B51A37"/>
    <w:rsid w:val="00B5210D"/>
    <w:rsid w:val="00B522A4"/>
    <w:rsid w:val="00B53554"/>
    <w:rsid w:val="00B53EBA"/>
    <w:rsid w:val="00B560C7"/>
    <w:rsid w:val="00B63A8F"/>
    <w:rsid w:val="00B65BCB"/>
    <w:rsid w:val="00B65CAD"/>
    <w:rsid w:val="00B74C2D"/>
    <w:rsid w:val="00B75B92"/>
    <w:rsid w:val="00B81D8A"/>
    <w:rsid w:val="00B830EA"/>
    <w:rsid w:val="00B8316A"/>
    <w:rsid w:val="00B84630"/>
    <w:rsid w:val="00B85C69"/>
    <w:rsid w:val="00B87503"/>
    <w:rsid w:val="00B90D0F"/>
    <w:rsid w:val="00B923BF"/>
    <w:rsid w:val="00B9352B"/>
    <w:rsid w:val="00B93879"/>
    <w:rsid w:val="00B94541"/>
    <w:rsid w:val="00BA0BEF"/>
    <w:rsid w:val="00BA29D1"/>
    <w:rsid w:val="00BA30AC"/>
    <w:rsid w:val="00BA58BE"/>
    <w:rsid w:val="00BA614D"/>
    <w:rsid w:val="00BA6DE5"/>
    <w:rsid w:val="00BB10C3"/>
    <w:rsid w:val="00BB32CD"/>
    <w:rsid w:val="00BC1628"/>
    <w:rsid w:val="00BC3CB5"/>
    <w:rsid w:val="00BC3EAC"/>
    <w:rsid w:val="00BC7194"/>
    <w:rsid w:val="00BC7FD6"/>
    <w:rsid w:val="00BD4529"/>
    <w:rsid w:val="00BD60A2"/>
    <w:rsid w:val="00BD6918"/>
    <w:rsid w:val="00BE0EAD"/>
    <w:rsid w:val="00BE305F"/>
    <w:rsid w:val="00BE738B"/>
    <w:rsid w:val="00BF53D3"/>
    <w:rsid w:val="00BF7951"/>
    <w:rsid w:val="00BF7F82"/>
    <w:rsid w:val="00C01EDC"/>
    <w:rsid w:val="00C04BC7"/>
    <w:rsid w:val="00C064F6"/>
    <w:rsid w:val="00C10EC3"/>
    <w:rsid w:val="00C228F9"/>
    <w:rsid w:val="00C24149"/>
    <w:rsid w:val="00C24E43"/>
    <w:rsid w:val="00C260D4"/>
    <w:rsid w:val="00C26AE4"/>
    <w:rsid w:val="00C30664"/>
    <w:rsid w:val="00C340C0"/>
    <w:rsid w:val="00C34952"/>
    <w:rsid w:val="00C41AB8"/>
    <w:rsid w:val="00C47B42"/>
    <w:rsid w:val="00C5408B"/>
    <w:rsid w:val="00C5498F"/>
    <w:rsid w:val="00C5555C"/>
    <w:rsid w:val="00C60547"/>
    <w:rsid w:val="00C619A8"/>
    <w:rsid w:val="00C61AF2"/>
    <w:rsid w:val="00C63606"/>
    <w:rsid w:val="00C6442D"/>
    <w:rsid w:val="00C64880"/>
    <w:rsid w:val="00C660A5"/>
    <w:rsid w:val="00C669C8"/>
    <w:rsid w:val="00C66A7E"/>
    <w:rsid w:val="00C66CF3"/>
    <w:rsid w:val="00C718BB"/>
    <w:rsid w:val="00C7240A"/>
    <w:rsid w:val="00C74357"/>
    <w:rsid w:val="00C754EC"/>
    <w:rsid w:val="00C76CDD"/>
    <w:rsid w:val="00C776BA"/>
    <w:rsid w:val="00C81D31"/>
    <w:rsid w:val="00C81DB4"/>
    <w:rsid w:val="00C827B1"/>
    <w:rsid w:val="00C840C7"/>
    <w:rsid w:val="00C85001"/>
    <w:rsid w:val="00C91FB7"/>
    <w:rsid w:val="00C92B6D"/>
    <w:rsid w:val="00C964DE"/>
    <w:rsid w:val="00C96521"/>
    <w:rsid w:val="00CA1805"/>
    <w:rsid w:val="00CA2461"/>
    <w:rsid w:val="00CA34C5"/>
    <w:rsid w:val="00CA3719"/>
    <w:rsid w:val="00CA603B"/>
    <w:rsid w:val="00CA6679"/>
    <w:rsid w:val="00CB1953"/>
    <w:rsid w:val="00CB228B"/>
    <w:rsid w:val="00CB4110"/>
    <w:rsid w:val="00CB6098"/>
    <w:rsid w:val="00CB7408"/>
    <w:rsid w:val="00CC04CE"/>
    <w:rsid w:val="00CC176B"/>
    <w:rsid w:val="00CC271F"/>
    <w:rsid w:val="00CC2BDA"/>
    <w:rsid w:val="00CD2BCE"/>
    <w:rsid w:val="00CD2D1B"/>
    <w:rsid w:val="00CE24C7"/>
    <w:rsid w:val="00CE25B7"/>
    <w:rsid w:val="00CE3246"/>
    <w:rsid w:val="00CE36E0"/>
    <w:rsid w:val="00CE3BD2"/>
    <w:rsid w:val="00CE59BA"/>
    <w:rsid w:val="00CE7F85"/>
    <w:rsid w:val="00CF046B"/>
    <w:rsid w:val="00CF4738"/>
    <w:rsid w:val="00CF5459"/>
    <w:rsid w:val="00D0097E"/>
    <w:rsid w:val="00D034E2"/>
    <w:rsid w:val="00D036A1"/>
    <w:rsid w:val="00D057B0"/>
    <w:rsid w:val="00D077B3"/>
    <w:rsid w:val="00D07B20"/>
    <w:rsid w:val="00D10C7E"/>
    <w:rsid w:val="00D11AA1"/>
    <w:rsid w:val="00D131AD"/>
    <w:rsid w:val="00D135FA"/>
    <w:rsid w:val="00D1776B"/>
    <w:rsid w:val="00D21AA4"/>
    <w:rsid w:val="00D252A0"/>
    <w:rsid w:val="00D37A6F"/>
    <w:rsid w:val="00D4255B"/>
    <w:rsid w:val="00D43275"/>
    <w:rsid w:val="00D44D3B"/>
    <w:rsid w:val="00D46D75"/>
    <w:rsid w:val="00D51122"/>
    <w:rsid w:val="00D520F5"/>
    <w:rsid w:val="00D57919"/>
    <w:rsid w:val="00D61C76"/>
    <w:rsid w:val="00D64E4A"/>
    <w:rsid w:val="00D6669B"/>
    <w:rsid w:val="00D700A0"/>
    <w:rsid w:val="00D71181"/>
    <w:rsid w:val="00D71BC8"/>
    <w:rsid w:val="00D72A7F"/>
    <w:rsid w:val="00D72D2B"/>
    <w:rsid w:val="00D747A9"/>
    <w:rsid w:val="00D7657C"/>
    <w:rsid w:val="00D80E37"/>
    <w:rsid w:val="00D81E84"/>
    <w:rsid w:val="00D8298A"/>
    <w:rsid w:val="00D833A9"/>
    <w:rsid w:val="00D83627"/>
    <w:rsid w:val="00D9436E"/>
    <w:rsid w:val="00D957D4"/>
    <w:rsid w:val="00D965B0"/>
    <w:rsid w:val="00DA079A"/>
    <w:rsid w:val="00DA3DD4"/>
    <w:rsid w:val="00DA4497"/>
    <w:rsid w:val="00DA6264"/>
    <w:rsid w:val="00DA67AD"/>
    <w:rsid w:val="00DA6979"/>
    <w:rsid w:val="00DA7241"/>
    <w:rsid w:val="00DC1CB9"/>
    <w:rsid w:val="00DC2C1D"/>
    <w:rsid w:val="00DD65BF"/>
    <w:rsid w:val="00DD78B5"/>
    <w:rsid w:val="00DE300A"/>
    <w:rsid w:val="00DE705F"/>
    <w:rsid w:val="00DF1169"/>
    <w:rsid w:val="00DF1798"/>
    <w:rsid w:val="00DF1E4B"/>
    <w:rsid w:val="00DF2044"/>
    <w:rsid w:val="00DF250F"/>
    <w:rsid w:val="00DF467C"/>
    <w:rsid w:val="00DF6467"/>
    <w:rsid w:val="00DF7847"/>
    <w:rsid w:val="00E0043D"/>
    <w:rsid w:val="00E043C1"/>
    <w:rsid w:val="00E06B7E"/>
    <w:rsid w:val="00E06C26"/>
    <w:rsid w:val="00E150BC"/>
    <w:rsid w:val="00E154AE"/>
    <w:rsid w:val="00E15E94"/>
    <w:rsid w:val="00E209D2"/>
    <w:rsid w:val="00E21B24"/>
    <w:rsid w:val="00E23AAB"/>
    <w:rsid w:val="00E2542E"/>
    <w:rsid w:val="00E262BC"/>
    <w:rsid w:val="00E27191"/>
    <w:rsid w:val="00E27631"/>
    <w:rsid w:val="00E342A9"/>
    <w:rsid w:val="00E3481E"/>
    <w:rsid w:val="00E349D7"/>
    <w:rsid w:val="00E40F6A"/>
    <w:rsid w:val="00E43324"/>
    <w:rsid w:val="00E4498A"/>
    <w:rsid w:val="00E468A4"/>
    <w:rsid w:val="00E51509"/>
    <w:rsid w:val="00E5294B"/>
    <w:rsid w:val="00E545B0"/>
    <w:rsid w:val="00E61310"/>
    <w:rsid w:val="00E6178A"/>
    <w:rsid w:val="00E6433B"/>
    <w:rsid w:val="00E65BCF"/>
    <w:rsid w:val="00E70584"/>
    <w:rsid w:val="00E70E3A"/>
    <w:rsid w:val="00E72539"/>
    <w:rsid w:val="00E773F6"/>
    <w:rsid w:val="00E83089"/>
    <w:rsid w:val="00E84938"/>
    <w:rsid w:val="00E84D19"/>
    <w:rsid w:val="00E8736F"/>
    <w:rsid w:val="00E905A6"/>
    <w:rsid w:val="00E90855"/>
    <w:rsid w:val="00E917D9"/>
    <w:rsid w:val="00E92C94"/>
    <w:rsid w:val="00E94138"/>
    <w:rsid w:val="00E979DA"/>
    <w:rsid w:val="00EA38AB"/>
    <w:rsid w:val="00EA39D6"/>
    <w:rsid w:val="00EB410D"/>
    <w:rsid w:val="00EB54E7"/>
    <w:rsid w:val="00EB58A5"/>
    <w:rsid w:val="00EC3D74"/>
    <w:rsid w:val="00EC6852"/>
    <w:rsid w:val="00EC7AE5"/>
    <w:rsid w:val="00ED19B4"/>
    <w:rsid w:val="00ED47F3"/>
    <w:rsid w:val="00ED57A1"/>
    <w:rsid w:val="00ED6DB9"/>
    <w:rsid w:val="00EE2447"/>
    <w:rsid w:val="00EF4574"/>
    <w:rsid w:val="00F005BE"/>
    <w:rsid w:val="00F02B19"/>
    <w:rsid w:val="00F1097B"/>
    <w:rsid w:val="00F10BF1"/>
    <w:rsid w:val="00F16E31"/>
    <w:rsid w:val="00F1782C"/>
    <w:rsid w:val="00F208A7"/>
    <w:rsid w:val="00F20A6D"/>
    <w:rsid w:val="00F219E0"/>
    <w:rsid w:val="00F24230"/>
    <w:rsid w:val="00F32FB0"/>
    <w:rsid w:val="00F345CC"/>
    <w:rsid w:val="00F375AD"/>
    <w:rsid w:val="00F37FDB"/>
    <w:rsid w:val="00F41A01"/>
    <w:rsid w:val="00F41B20"/>
    <w:rsid w:val="00F45F39"/>
    <w:rsid w:val="00F55543"/>
    <w:rsid w:val="00F61F45"/>
    <w:rsid w:val="00F6369C"/>
    <w:rsid w:val="00F6370B"/>
    <w:rsid w:val="00F644DE"/>
    <w:rsid w:val="00F7250F"/>
    <w:rsid w:val="00F72849"/>
    <w:rsid w:val="00F750AA"/>
    <w:rsid w:val="00F75272"/>
    <w:rsid w:val="00F80C9E"/>
    <w:rsid w:val="00F8168E"/>
    <w:rsid w:val="00F8204E"/>
    <w:rsid w:val="00F84CDE"/>
    <w:rsid w:val="00F90DDF"/>
    <w:rsid w:val="00F92CDB"/>
    <w:rsid w:val="00F931B4"/>
    <w:rsid w:val="00F93CEE"/>
    <w:rsid w:val="00F96C04"/>
    <w:rsid w:val="00F96C11"/>
    <w:rsid w:val="00F97ADC"/>
    <w:rsid w:val="00F97EDB"/>
    <w:rsid w:val="00FA2DBE"/>
    <w:rsid w:val="00FA39BA"/>
    <w:rsid w:val="00FA401F"/>
    <w:rsid w:val="00FA5B39"/>
    <w:rsid w:val="00FA7990"/>
    <w:rsid w:val="00FB0B25"/>
    <w:rsid w:val="00FB42BD"/>
    <w:rsid w:val="00FB435A"/>
    <w:rsid w:val="00FB5973"/>
    <w:rsid w:val="00FC1002"/>
    <w:rsid w:val="00FC2471"/>
    <w:rsid w:val="00FC3E7E"/>
    <w:rsid w:val="00FC3EB5"/>
    <w:rsid w:val="00FC525A"/>
    <w:rsid w:val="00FC5ACB"/>
    <w:rsid w:val="00FC6111"/>
    <w:rsid w:val="00FC7273"/>
    <w:rsid w:val="00FD0AFE"/>
    <w:rsid w:val="00FD5756"/>
    <w:rsid w:val="00FE0A96"/>
    <w:rsid w:val="00FE0CF5"/>
    <w:rsid w:val="00FE136D"/>
    <w:rsid w:val="00FE2A84"/>
    <w:rsid w:val="00FE5291"/>
    <w:rsid w:val="00FE5590"/>
    <w:rsid w:val="00FE6926"/>
    <w:rsid w:val="00FF331B"/>
    <w:rsid w:val="00FF4B03"/>
    <w:rsid w:val="00FF5E26"/>
    <w:rsid w:val="00FF7228"/>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6657DB"/>
  <w15:chartTrackingRefBased/>
  <w15:docId w15:val="{73C2C27A-2E7F-43A9-863C-7E4D1DC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3AFC"/>
    <w:rPr>
      <w:rFonts w:ascii="Arial" w:hAnsi="Arial"/>
      <w:sz w:val="24"/>
      <w:szCs w:val="24"/>
    </w:rPr>
  </w:style>
  <w:style w:type="paragraph" w:styleId="Heading1">
    <w:name w:val="heading 1"/>
    <w:basedOn w:val="Normal"/>
    <w:next w:val="Normal"/>
    <w:link w:val="Heading1Char"/>
    <w:qFormat/>
    <w:rsid w:val="00FF72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F10BF1"/>
    <w:pPr>
      <w:widowControl w:val="0"/>
      <w:autoSpaceDE w:val="0"/>
      <w:autoSpaceDN w:val="0"/>
      <w:ind w:left="621"/>
      <w:outlineLvl w:val="1"/>
    </w:pPr>
    <w:rPr>
      <w:rFonts w:ascii="Times New Roman" w:hAnsi="Times New Roman"/>
      <w:b/>
      <w:bCs/>
      <w:sz w:val="20"/>
      <w:szCs w:val="20"/>
    </w:rPr>
  </w:style>
  <w:style w:type="paragraph" w:styleId="Heading3">
    <w:name w:val="heading 3"/>
    <w:basedOn w:val="Normal"/>
    <w:next w:val="Normal"/>
    <w:link w:val="Heading3Char"/>
    <w:unhideWhenUsed/>
    <w:qFormat/>
    <w:rsid w:val="000A3AF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C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D7453"/>
    <w:rPr>
      <w:rFonts w:ascii="Helvetica" w:eastAsia="Helvetica" w:hAnsi="Helvetica"/>
      <w:noProof w:val="0"/>
      <w:sz w:val="24"/>
      <w:lang w:val="en-US"/>
    </w:rPr>
  </w:style>
  <w:style w:type="paragraph" w:customStyle="1" w:styleId="ICCSECTIONl4L7">
    <w:name w:val="ICCSECTION_l4_L7"/>
    <w:rsid w:val="00080A3E"/>
    <w:pPr>
      <w:widowControl w:val="0"/>
      <w:autoSpaceDE w:val="0"/>
      <w:autoSpaceDN w:val="0"/>
      <w:adjustRightInd w:val="0"/>
      <w:ind w:left="720"/>
    </w:pPr>
    <w:rPr>
      <w:rFonts w:ascii="Arial" w:eastAsia="SimSun" w:hAnsi="Arial" w:cs="Arial"/>
    </w:rPr>
  </w:style>
  <w:style w:type="paragraph" w:styleId="Revision">
    <w:name w:val="Revision"/>
    <w:hidden/>
    <w:uiPriority w:val="99"/>
    <w:semiHidden/>
    <w:rsid w:val="00B157CE"/>
    <w:rPr>
      <w:rFonts w:ascii="Arial" w:hAnsi="Arial"/>
      <w:sz w:val="24"/>
      <w:szCs w:val="24"/>
    </w:rPr>
  </w:style>
  <w:style w:type="character" w:customStyle="1" w:styleId="Heading2Char">
    <w:name w:val="Heading 2 Char"/>
    <w:link w:val="Heading2"/>
    <w:uiPriority w:val="1"/>
    <w:rsid w:val="00F10BF1"/>
    <w:rPr>
      <w:b/>
      <w:bCs/>
    </w:rPr>
  </w:style>
  <w:style w:type="paragraph" w:styleId="BodyText">
    <w:name w:val="Body Text"/>
    <w:basedOn w:val="Normal"/>
    <w:link w:val="BodyTextChar"/>
    <w:rsid w:val="004A267A"/>
    <w:pPr>
      <w:spacing w:after="120"/>
    </w:pPr>
  </w:style>
  <w:style w:type="character" w:customStyle="1" w:styleId="BodyTextChar">
    <w:name w:val="Body Text Char"/>
    <w:link w:val="BodyText"/>
    <w:rsid w:val="004A267A"/>
    <w:rPr>
      <w:rFonts w:ascii="Arial" w:hAnsi="Arial"/>
      <w:sz w:val="24"/>
      <w:szCs w:val="24"/>
    </w:rPr>
  </w:style>
  <w:style w:type="character" w:customStyle="1" w:styleId="FooterChar">
    <w:name w:val="Footer Char"/>
    <w:basedOn w:val="DefaultParagraphFont"/>
    <w:link w:val="Footer"/>
    <w:uiPriority w:val="99"/>
    <w:rsid w:val="003B39C7"/>
    <w:rPr>
      <w:rFonts w:ascii="Arial" w:hAnsi="Arial"/>
      <w:sz w:val="24"/>
      <w:szCs w:val="24"/>
    </w:rPr>
  </w:style>
  <w:style w:type="table" w:customStyle="1" w:styleId="TableGrid1">
    <w:name w:val="Table Grid1"/>
    <w:basedOn w:val="TableNormal"/>
    <w:next w:val="TableGrid"/>
    <w:uiPriority w:val="59"/>
    <w:rsid w:val="004618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1876"/>
  </w:style>
  <w:style w:type="character" w:customStyle="1" w:styleId="Heading1Char">
    <w:name w:val="Heading 1 Char"/>
    <w:basedOn w:val="DefaultParagraphFont"/>
    <w:link w:val="Heading1"/>
    <w:rsid w:val="00FF72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0A3AF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26">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245265315">
      <w:bodyDiv w:val="1"/>
      <w:marLeft w:val="0"/>
      <w:marRight w:val="0"/>
      <w:marTop w:val="0"/>
      <w:marBottom w:val="0"/>
      <w:divBdr>
        <w:top w:val="none" w:sz="0" w:space="0" w:color="auto"/>
        <w:left w:val="none" w:sz="0" w:space="0" w:color="auto"/>
        <w:bottom w:val="none" w:sz="0" w:space="0" w:color="auto"/>
        <w:right w:val="none" w:sz="0" w:space="0" w:color="auto"/>
      </w:divBdr>
    </w:div>
    <w:div w:id="1248222563">
      <w:bodyDiv w:val="1"/>
      <w:marLeft w:val="0"/>
      <w:marRight w:val="0"/>
      <w:marTop w:val="0"/>
      <w:marBottom w:val="0"/>
      <w:divBdr>
        <w:top w:val="none" w:sz="0" w:space="0" w:color="auto"/>
        <w:left w:val="none" w:sz="0" w:space="0" w:color="auto"/>
        <w:bottom w:val="none" w:sz="0" w:space="0" w:color="auto"/>
        <w:right w:val="none" w:sz="0" w:space="0" w:color="auto"/>
      </w:divBdr>
    </w:div>
    <w:div w:id="1249926187">
      <w:bodyDiv w:val="1"/>
      <w:marLeft w:val="0"/>
      <w:marRight w:val="0"/>
      <w:marTop w:val="0"/>
      <w:marBottom w:val="0"/>
      <w:divBdr>
        <w:top w:val="none" w:sz="0" w:space="0" w:color="auto"/>
        <w:left w:val="none" w:sz="0" w:space="0" w:color="auto"/>
        <w:bottom w:val="none" w:sz="0" w:space="0" w:color="auto"/>
        <w:right w:val="none" w:sz="0" w:space="0" w:color="auto"/>
      </w:divBdr>
      <w:divsChild>
        <w:div w:id="133841730">
          <w:marLeft w:val="0"/>
          <w:marRight w:val="0"/>
          <w:marTop w:val="0"/>
          <w:marBottom w:val="0"/>
          <w:divBdr>
            <w:top w:val="none" w:sz="0" w:space="0" w:color="auto"/>
            <w:left w:val="none" w:sz="0" w:space="0" w:color="auto"/>
            <w:bottom w:val="none" w:sz="0" w:space="0" w:color="auto"/>
            <w:right w:val="none" w:sz="0" w:space="0" w:color="auto"/>
          </w:divBdr>
        </w:div>
        <w:div w:id="148642910">
          <w:marLeft w:val="0"/>
          <w:marRight w:val="0"/>
          <w:marTop w:val="0"/>
          <w:marBottom w:val="0"/>
          <w:divBdr>
            <w:top w:val="none" w:sz="0" w:space="0" w:color="auto"/>
            <w:left w:val="none" w:sz="0" w:space="0" w:color="auto"/>
            <w:bottom w:val="none" w:sz="0" w:space="0" w:color="auto"/>
            <w:right w:val="none" w:sz="0" w:space="0" w:color="auto"/>
          </w:divBdr>
        </w:div>
        <w:div w:id="202983151">
          <w:marLeft w:val="0"/>
          <w:marRight w:val="0"/>
          <w:marTop w:val="0"/>
          <w:marBottom w:val="0"/>
          <w:divBdr>
            <w:top w:val="none" w:sz="0" w:space="0" w:color="auto"/>
            <w:left w:val="none" w:sz="0" w:space="0" w:color="auto"/>
            <w:bottom w:val="none" w:sz="0" w:space="0" w:color="auto"/>
            <w:right w:val="none" w:sz="0" w:space="0" w:color="auto"/>
          </w:divBdr>
        </w:div>
        <w:div w:id="203518954">
          <w:marLeft w:val="0"/>
          <w:marRight w:val="0"/>
          <w:marTop w:val="0"/>
          <w:marBottom w:val="0"/>
          <w:divBdr>
            <w:top w:val="none" w:sz="0" w:space="0" w:color="auto"/>
            <w:left w:val="none" w:sz="0" w:space="0" w:color="auto"/>
            <w:bottom w:val="none" w:sz="0" w:space="0" w:color="auto"/>
            <w:right w:val="none" w:sz="0" w:space="0" w:color="auto"/>
          </w:divBdr>
        </w:div>
        <w:div w:id="218397221">
          <w:marLeft w:val="0"/>
          <w:marRight w:val="0"/>
          <w:marTop w:val="0"/>
          <w:marBottom w:val="0"/>
          <w:divBdr>
            <w:top w:val="none" w:sz="0" w:space="0" w:color="auto"/>
            <w:left w:val="none" w:sz="0" w:space="0" w:color="auto"/>
            <w:bottom w:val="none" w:sz="0" w:space="0" w:color="auto"/>
            <w:right w:val="none" w:sz="0" w:space="0" w:color="auto"/>
          </w:divBdr>
        </w:div>
        <w:div w:id="340203472">
          <w:marLeft w:val="0"/>
          <w:marRight w:val="0"/>
          <w:marTop w:val="0"/>
          <w:marBottom w:val="0"/>
          <w:divBdr>
            <w:top w:val="none" w:sz="0" w:space="0" w:color="auto"/>
            <w:left w:val="none" w:sz="0" w:space="0" w:color="auto"/>
            <w:bottom w:val="none" w:sz="0" w:space="0" w:color="auto"/>
            <w:right w:val="none" w:sz="0" w:space="0" w:color="auto"/>
          </w:divBdr>
        </w:div>
        <w:div w:id="419253816">
          <w:marLeft w:val="0"/>
          <w:marRight w:val="0"/>
          <w:marTop w:val="0"/>
          <w:marBottom w:val="0"/>
          <w:divBdr>
            <w:top w:val="none" w:sz="0" w:space="0" w:color="auto"/>
            <w:left w:val="none" w:sz="0" w:space="0" w:color="auto"/>
            <w:bottom w:val="none" w:sz="0" w:space="0" w:color="auto"/>
            <w:right w:val="none" w:sz="0" w:space="0" w:color="auto"/>
          </w:divBdr>
        </w:div>
        <w:div w:id="560210371">
          <w:marLeft w:val="0"/>
          <w:marRight w:val="0"/>
          <w:marTop w:val="0"/>
          <w:marBottom w:val="0"/>
          <w:divBdr>
            <w:top w:val="none" w:sz="0" w:space="0" w:color="auto"/>
            <w:left w:val="none" w:sz="0" w:space="0" w:color="auto"/>
            <w:bottom w:val="none" w:sz="0" w:space="0" w:color="auto"/>
            <w:right w:val="none" w:sz="0" w:space="0" w:color="auto"/>
          </w:divBdr>
        </w:div>
        <w:div w:id="666910196">
          <w:marLeft w:val="0"/>
          <w:marRight w:val="0"/>
          <w:marTop w:val="0"/>
          <w:marBottom w:val="0"/>
          <w:divBdr>
            <w:top w:val="none" w:sz="0" w:space="0" w:color="auto"/>
            <w:left w:val="none" w:sz="0" w:space="0" w:color="auto"/>
            <w:bottom w:val="none" w:sz="0" w:space="0" w:color="auto"/>
            <w:right w:val="none" w:sz="0" w:space="0" w:color="auto"/>
          </w:divBdr>
        </w:div>
        <w:div w:id="688024432">
          <w:marLeft w:val="0"/>
          <w:marRight w:val="0"/>
          <w:marTop w:val="0"/>
          <w:marBottom w:val="0"/>
          <w:divBdr>
            <w:top w:val="none" w:sz="0" w:space="0" w:color="auto"/>
            <w:left w:val="none" w:sz="0" w:space="0" w:color="auto"/>
            <w:bottom w:val="none" w:sz="0" w:space="0" w:color="auto"/>
            <w:right w:val="none" w:sz="0" w:space="0" w:color="auto"/>
          </w:divBdr>
        </w:div>
        <w:div w:id="761336188">
          <w:marLeft w:val="0"/>
          <w:marRight w:val="0"/>
          <w:marTop w:val="0"/>
          <w:marBottom w:val="0"/>
          <w:divBdr>
            <w:top w:val="none" w:sz="0" w:space="0" w:color="auto"/>
            <w:left w:val="none" w:sz="0" w:space="0" w:color="auto"/>
            <w:bottom w:val="none" w:sz="0" w:space="0" w:color="auto"/>
            <w:right w:val="none" w:sz="0" w:space="0" w:color="auto"/>
          </w:divBdr>
        </w:div>
        <w:div w:id="836960915">
          <w:marLeft w:val="0"/>
          <w:marRight w:val="0"/>
          <w:marTop w:val="0"/>
          <w:marBottom w:val="0"/>
          <w:divBdr>
            <w:top w:val="none" w:sz="0" w:space="0" w:color="auto"/>
            <w:left w:val="none" w:sz="0" w:space="0" w:color="auto"/>
            <w:bottom w:val="none" w:sz="0" w:space="0" w:color="auto"/>
            <w:right w:val="none" w:sz="0" w:space="0" w:color="auto"/>
          </w:divBdr>
        </w:div>
        <w:div w:id="1085882640">
          <w:marLeft w:val="0"/>
          <w:marRight w:val="0"/>
          <w:marTop w:val="0"/>
          <w:marBottom w:val="0"/>
          <w:divBdr>
            <w:top w:val="none" w:sz="0" w:space="0" w:color="auto"/>
            <w:left w:val="none" w:sz="0" w:space="0" w:color="auto"/>
            <w:bottom w:val="none" w:sz="0" w:space="0" w:color="auto"/>
            <w:right w:val="none" w:sz="0" w:space="0" w:color="auto"/>
          </w:divBdr>
        </w:div>
        <w:div w:id="1138836501">
          <w:marLeft w:val="0"/>
          <w:marRight w:val="0"/>
          <w:marTop w:val="0"/>
          <w:marBottom w:val="0"/>
          <w:divBdr>
            <w:top w:val="none" w:sz="0" w:space="0" w:color="auto"/>
            <w:left w:val="none" w:sz="0" w:space="0" w:color="auto"/>
            <w:bottom w:val="none" w:sz="0" w:space="0" w:color="auto"/>
            <w:right w:val="none" w:sz="0" w:space="0" w:color="auto"/>
          </w:divBdr>
        </w:div>
        <w:div w:id="1252855948">
          <w:marLeft w:val="0"/>
          <w:marRight w:val="0"/>
          <w:marTop w:val="0"/>
          <w:marBottom w:val="0"/>
          <w:divBdr>
            <w:top w:val="none" w:sz="0" w:space="0" w:color="auto"/>
            <w:left w:val="none" w:sz="0" w:space="0" w:color="auto"/>
            <w:bottom w:val="none" w:sz="0" w:space="0" w:color="auto"/>
            <w:right w:val="none" w:sz="0" w:space="0" w:color="auto"/>
          </w:divBdr>
        </w:div>
        <w:div w:id="1268468123">
          <w:marLeft w:val="0"/>
          <w:marRight w:val="0"/>
          <w:marTop w:val="0"/>
          <w:marBottom w:val="0"/>
          <w:divBdr>
            <w:top w:val="none" w:sz="0" w:space="0" w:color="auto"/>
            <w:left w:val="none" w:sz="0" w:space="0" w:color="auto"/>
            <w:bottom w:val="none" w:sz="0" w:space="0" w:color="auto"/>
            <w:right w:val="none" w:sz="0" w:space="0" w:color="auto"/>
          </w:divBdr>
        </w:div>
        <w:div w:id="1313605985">
          <w:marLeft w:val="0"/>
          <w:marRight w:val="0"/>
          <w:marTop w:val="0"/>
          <w:marBottom w:val="0"/>
          <w:divBdr>
            <w:top w:val="none" w:sz="0" w:space="0" w:color="auto"/>
            <w:left w:val="none" w:sz="0" w:space="0" w:color="auto"/>
            <w:bottom w:val="none" w:sz="0" w:space="0" w:color="auto"/>
            <w:right w:val="none" w:sz="0" w:space="0" w:color="auto"/>
          </w:divBdr>
        </w:div>
        <w:div w:id="1326013662">
          <w:marLeft w:val="0"/>
          <w:marRight w:val="0"/>
          <w:marTop w:val="0"/>
          <w:marBottom w:val="0"/>
          <w:divBdr>
            <w:top w:val="none" w:sz="0" w:space="0" w:color="auto"/>
            <w:left w:val="none" w:sz="0" w:space="0" w:color="auto"/>
            <w:bottom w:val="none" w:sz="0" w:space="0" w:color="auto"/>
            <w:right w:val="none" w:sz="0" w:space="0" w:color="auto"/>
          </w:divBdr>
        </w:div>
        <w:div w:id="1344623127">
          <w:marLeft w:val="0"/>
          <w:marRight w:val="0"/>
          <w:marTop w:val="0"/>
          <w:marBottom w:val="0"/>
          <w:divBdr>
            <w:top w:val="none" w:sz="0" w:space="0" w:color="auto"/>
            <w:left w:val="none" w:sz="0" w:space="0" w:color="auto"/>
            <w:bottom w:val="none" w:sz="0" w:space="0" w:color="auto"/>
            <w:right w:val="none" w:sz="0" w:space="0" w:color="auto"/>
          </w:divBdr>
        </w:div>
        <w:div w:id="1351031807">
          <w:marLeft w:val="0"/>
          <w:marRight w:val="0"/>
          <w:marTop w:val="0"/>
          <w:marBottom w:val="0"/>
          <w:divBdr>
            <w:top w:val="none" w:sz="0" w:space="0" w:color="auto"/>
            <w:left w:val="none" w:sz="0" w:space="0" w:color="auto"/>
            <w:bottom w:val="none" w:sz="0" w:space="0" w:color="auto"/>
            <w:right w:val="none" w:sz="0" w:space="0" w:color="auto"/>
          </w:divBdr>
        </w:div>
        <w:div w:id="1367104036">
          <w:marLeft w:val="0"/>
          <w:marRight w:val="0"/>
          <w:marTop w:val="0"/>
          <w:marBottom w:val="0"/>
          <w:divBdr>
            <w:top w:val="none" w:sz="0" w:space="0" w:color="auto"/>
            <w:left w:val="none" w:sz="0" w:space="0" w:color="auto"/>
            <w:bottom w:val="none" w:sz="0" w:space="0" w:color="auto"/>
            <w:right w:val="none" w:sz="0" w:space="0" w:color="auto"/>
          </w:divBdr>
        </w:div>
        <w:div w:id="1380864318">
          <w:marLeft w:val="0"/>
          <w:marRight w:val="0"/>
          <w:marTop w:val="0"/>
          <w:marBottom w:val="0"/>
          <w:divBdr>
            <w:top w:val="none" w:sz="0" w:space="0" w:color="auto"/>
            <w:left w:val="none" w:sz="0" w:space="0" w:color="auto"/>
            <w:bottom w:val="none" w:sz="0" w:space="0" w:color="auto"/>
            <w:right w:val="none" w:sz="0" w:space="0" w:color="auto"/>
          </w:divBdr>
        </w:div>
        <w:div w:id="1430269393">
          <w:marLeft w:val="0"/>
          <w:marRight w:val="0"/>
          <w:marTop w:val="0"/>
          <w:marBottom w:val="0"/>
          <w:divBdr>
            <w:top w:val="none" w:sz="0" w:space="0" w:color="auto"/>
            <w:left w:val="none" w:sz="0" w:space="0" w:color="auto"/>
            <w:bottom w:val="none" w:sz="0" w:space="0" w:color="auto"/>
            <w:right w:val="none" w:sz="0" w:space="0" w:color="auto"/>
          </w:divBdr>
        </w:div>
        <w:div w:id="1498612629">
          <w:marLeft w:val="0"/>
          <w:marRight w:val="0"/>
          <w:marTop w:val="0"/>
          <w:marBottom w:val="0"/>
          <w:divBdr>
            <w:top w:val="none" w:sz="0" w:space="0" w:color="auto"/>
            <w:left w:val="none" w:sz="0" w:space="0" w:color="auto"/>
            <w:bottom w:val="none" w:sz="0" w:space="0" w:color="auto"/>
            <w:right w:val="none" w:sz="0" w:space="0" w:color="auto"/>
          </w:divBdr>
        </w:div>
        <w:div w:id="1502156077">
          <w:marLeft w:val="0"/>
          <w:marRight w:val="0"/>
          <w:marTop w:val="0"/>
          <w:marBottom w:val="0"/>
          <w:divBdr>
            <w:top w:val="none" w:sz="0" w:space="0" w:color="auto"/>
            <w:left w:val="none" w:sz="0" w:space="0" w:color="auto"/>
            <w:bottom w:val="none" w:sz="0" w:space="0" w:color="auto"/>
            <w:right w:val="none" w:sz="0" w:space="0" w:color="auto"/>
          </w:divBdr>
        </w:div>
        <w:div w:id="1526361056">
          <w:marLeft w:val="0"/>
          <w:marRight w:val="0"/>
          <w:marTop w:val="0"/>
          <w:marBottom w:val="0"/>
          <w:divBdr>
            <w:top w:val="none" w:sz="0" w:space="0" w:color="auto"/>
            <w:left w:val="none" w:sz="0" w:space="0" w:color="auto"/>
            <w:bottom w:val="none" w:sz="0" w:space="0" w:color="auto"/>
            <w:right w:val="none" w:sz="0" w:space="0" w:color="auto"/>
          </w:divBdr>
        </w:div>
        <w:div w:id="1546019938">
          <w:marLeft w:val="0"/>
          <w:marRight w:val="0"/>
          <w:marTop w:val="0"/>
          <w:marBottom w:val="0"/>
          <w:divBdr>
            <w:top w:val="none" w:sz="0" w:space="0" w:color="auto"/>
            <w:left w:val="none" w:sz="0" w:space="0" w:color="auto"/>
            <w:bottom w:val="none" w:sz="0" w:space="0" w:color="auto"/>
            <w:right w:val="none" w:sz="0" w:space="0" w:color="auto"/>
          </w:divBdr>
        </w:div>
        <w:div w:id="1549611463">
          <w:marLeft w:val="0"/>
          <w:marRight w:val="0"/>
          <w:marTop w:val="0"/>
          <w:marBottom w:val="0"/>
          <w:divBdr>
            <w:top w:val="none" w:sz="0" w:space="0" w:color="auto"/>
            <w:left w:val="none" w:sz="0" w:space="0" w:color="auto"/>
            <w:bottom w:val="none" w:sz="0" w:space="0" w:color="auto"/>
            <w:right w:val="none" w:sz="0" w:space="0" w:color="auto"/>
          </w:divBdr>
        </w:div>
        <w:div w:id="1603605090">
          <w:marLeft w:val="0"/>
          <w:marRight w:val="0"/>
          <w:marTop w:val="0"/>
          <w:marBottom w:val="0"/>
          <w:divBdr>
            <w:top w:val="none" w:sz="0" w:space="0" w:color="auto"/>
            <w:left w:val="none" w:sz="0" w:space="0" w:color="auto"/>
            <w:bottom w:val="none" w:sz="0" w:space="0" w:color="auto"/>
            <w:right w:val="none" w:sz="0" w:space="0" w:color="auto"/>
          </w:divBdr>
        </w:div>
        <w:div w:id="1640108054">
          <w:marLeft w:val="0"/>
          <w:marRight w:val="0"/>
          <w:marTop w:val="0"/>
          <w:marBottom w:val="0"/>
          <w:divBdr>
            <w:top w:val="none" w:sz="0" w:space="0" w:color="auto"/>
            <w:left w:val="none" w:sz="0" w:space="0" w:color="auto"/>
            <w:bottom w:val="none" w:sz="0" w:space="0" w:color="auto"/>
            <w:right w:val="none" w:sz="0" w:space="0" w:color="auto"/>
          </w:divBdr>
        </w:div>
        <w:div w:id="1677806378">
          <w:marLeft w:val="0"/>
          <w:marRight w:val="0"/>
          <w:marTop w:val="0"/>
          <w:marBottom w:val="0"/>
          <w:divBdr>
            <w:top w:val="none" w:sz="0" w:space="0" w:color="auto"/>
            <w:left w:val="none" w:sz="0" w:space="0" w:color="auto"/>
            <w:bottom w:val="none" w:sz="0" w:space="0" w:color="auto"/>
            <w:right w:val="none" w:sz="0" w:space="0" w:color="auto"/>
          </w:divBdr>
        </w:div>
        <w:div w:id="1916937286">
          <w:marLeft w:val="0"/>
          <w:marRight w:val="0"/>
          <w:marTop w:val="0"/>
          <w:marBottom w:val="0"/>
          <w:divBdr>
            <w:top w:val="none" w:sz="0" w:space="0" w:color="auto"/>
            <w:left w:val="none" w:sz="0" w:space="0" w:color="auto"/>
            <w:bottom w:val="none" w:sz="0" w:space="0" w:color="auto"/>
            <w:right w:val="none" w:sz="0" w:space="0" w:color="auto"/>
          </w:divBdr>
        </w:div>
        <w:div w:id="2042586997">
          <w:marLeft w:val="0"/>
          <w:marRight w:val="0"/>
          <w:marTop w:val="0"/>
          <w:marBottom w:val="0"/>
          <w:divBdr>
            <w:top w:val="none" w:sz="0" w:space="0" w:color="auto"/>
            <w:left w:val="none" w:sz="0" w:space="0" w:color="auto"/>
            <w:bottom w:val="none" w:sz="0" w:space="0" w:color="auto"/>
            <w:right w:val="none" w:sz="0" w:space="0" w:color="auto"/>
          </w:divBdr>
        </w:div>
      </w:divsChild>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2138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4020-4D2F-4E25-BF54-02BFC38A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1408</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Rodriguez, Enrique (CBSC)@DGS</cp:lastModifiedBy>
  <cp:revision>58</cp:revision>
  <cp:lastPrinted>2019-07-31T23:51:00Z</cp:lastPrinted>
  <dcterms:created xsi:type="dcterms:W3CDTF">2020-11-19T17:38:00Z</dcterms:created>
  <dcterms:modified xsi:type="dcterms:W3CDTF">2020-11-21T01:01:00Z</dcterms:modified>
</cp:coreProperties>
</file>