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83F4" w14:textId="7F47771D" w:rsidR="008E62B7" w:rsidRPr="008E62B7" w:rsidRDefault="008E62B7" w:rsidP="008E62B7">
      <w:pPr>
        <w:pStyle w:val="Heading1"/>
        <w:spacing w:after="240"/>
        <w:jc w:val="center"/>
        <w:rPr>
          <w:rFonts w:ascii="Century Gothic" w:hAnsi="Century Gothic" w:cs="Arial"/>
          <w:b w:val="0"/>
          <w:bCs/>
          <w:snapToGrid/>
          <w:szCs w:val="24"/>
        </w:rPr>
      </w:pPr>
      <w:r>
        <w:rPr>
          <w:rFonts w:ascii="Century Gothic" w:hAnsi="Century Gothic" w:cs="Arial"/>
          <w:b w:val="0"/>
          <w:bCs/>
          <w:szCs w:val="24"/>
        </w:rPr>
        <w:t xml:space="preserve">APPROVED BY THE CALIFORNIA BUILDING STANDARDS COMMISSION </w:t>
      </w:r>
      <w:r>
        <w:rPr>
          <w:rFonts w:ascii="Century Gothic" w:hAnsi="Century Gothic" w:cs="Arial"/>
          <w:b w:val="0"/>
          <w:bCs/>
          <w:snapToGrid/>
          <w:szCs w:val="24"/>
        </w:rPr>
        <w:br/>
      </w:r>
      <w:r w:rsidR="004342F6">
        <w:rPr>
          <w:rFonts w:ascii="Century Gothic" w:hAnsi="Century Gothic" w:cs="Arial"/>
          <w:b w:val="0"/>
          <w:bCs/>
          <w:szCs w:val="24"/>
        </w:rPr>
        <w:t>JANUARY 19, 2022</w:t>
      </w:r>
    </w:p>
    <w:p w14:paraId="3BA59331" w14:textId="4BBE5AF7" w:rsidR="001701D4" w:rsidRPr="00AD67B3" w:rsidRDefault="00983B0A" w:rsidP="00A1011F">
      <w:pPr>
        <w:pStyle w:val="Heading1"/>
        <w:spacing w:line="240" w:lineRule="auto"/>
        <w:jc w:val="center"/>
        <w:rPr>
          <w:rFonts w:cs="Arial"/>
        </w:rPr>
      </w:pPr>
      <w:r>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2B17CA">
        <w:rPr>
          <w:rFonts w:eastAsiaTheme="majorEastAsia"/>
        </w:rPr>
        <w:t>S</w:t>
      </w:r>
      <w:r w:rsidR="00D5409C" w:rsidRPr="002B17CA">
        <w:rPr>
          <w:rFonts w:eastAsiaTheme="majorEastAsia"/>
        </w:rPr>
        <w:t xml:space="preserve">TATE </w:t>
      </w:r>
      <w:r w:rsidR="00562BB3" w:rsidRPr="002B17CA">
        <w:rPr>
          <w:rFonts w:eastAsiaTheme="majorEastAsia"/>
        </w:rPr>
        <w:t>F</w:t>
      </w:r>
      <w:r w:rsidR="00D5409C" w:rsidRPr="002B17CA">
        <w:rPr>
          <w:rFonts w:eastAsiaTheme="majorEastAsia"/>
        </w:rPr>
        <w:t xml:space="preserve">IRE </w:t>
      </w:r>
      <w:r w:rsidR="00562BB3" w:rsidRPr="002B17CA">
        <w:rPr>
          <w:rFonts w:eastAsiaTheme="majorEastAsia"/>
        </w:rPr>
        <w:t>M</w:t>
      </w:r>
      <w:r w:rsidR="00D5409C" w:rsidRPr="002B17CA">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E229CB">
        <w:rPr>
          <w:rFonts w:eastAsiaTheme="majorEastAsia"/>
        </w:rPr>
        <w:t xml:space="preserve">2022 </w:t>
      </w:r>
      <w:r w:rsidR="00D5409C" w:rsidRPr="002B17CA">
        <w:rPr>
          <w:rFonts w:eastAsiaTheme="majorEastAsia"/>
        </w:rPr>
        <w:t xml:space="preserve">CALIFORNIA </w:t>
      </w:r>
      <w:r w:rsidR="00791998" w:rsidRPr="002B17CA">
        <w:rPr>
          <w:rFonts w:eastAsiaTheme="majorEastAsia"/>
        </w:rPr>
        <w:t>REFERENCED STANDARDS</w:t>
      </w:r>
      <w:r w:rsidR="00D5409C" w:rsidRPr="002B17CA">
        <w:rPr>
          <w:rFonts w:eastAsiaTheme="majorEastAsia"/>
        </w:rPr>
        <w:t xml:space="preserve"> CODE</w:t>
      </w:r>
      <w:r w:rsidR="002A55E0" w:rsidRPr="00AD67B3">
        <w:rPr>
          <w:rFonts w:cs="Arial"/>
        </w:rPr>
        <w:t>,</w:t>
      </w:r>
      <w:r w:rsidR="00A1011F">
        <w:rPr>
          <w:rFonts w:cs="Arial"/>
        </w:rPr>
        <w:br/>
      </w:r>
      <w:r w:rsidR="000257AD" w:rsidRPr="00AD67B3">
        <w:rPr>
          <w:rFonts w:cs="Arial"/>
        </w:rPr>
        <w:t xml:space="preserve">CALIFORNIA CODE OF REGULATIONS, TITLE 24, PART </w:t>
      </w:r>
      <w:r w:rsidR="003A776B">
        <w:rPr>
          <w:rStyle w:val="TitleChar"/>
          <w:rFonts w:cs="Arial"/>
          <w:b/>
        </w:rPr>
        <w:t>1</w:t>
      </w:r>
      <w:r w:rsidR="00791998">
        <w:rPr>
          <w:rStyle w:val="TitleChar"/>
          <w:rFonts w:cs="Arial"/>
          <w:b/>
        </w:rPr>
        <w:t>2</w:t>
      </w:r>
    </w:p>
    <w:p w14:paraId="5A0C8502" w14:textId="6252C41D"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791998">
        <w:rPr>
          <w:rFonts w:cs="Arial"/>
        </w:rPr>
        <w:t>08</w:t>
      </w:r>
      <w:r w:rsidR="0044195B">
        <w:rPr>
          <w:rFonts w:cs="Arial"/>
        </w:rPr>
        <w:t>/21</w:t>
      </w:r>
      <w:r w:rsidRPr="00AD67B3">
        <w:rPr>
          <w:rFonts w:cs="Arial"/>
        </w:rPr>
        <w:t>)</w:t>
      </w:r>
    </w:p>
    <w:p w14:paraId="2D577F23" w14:textId="77777777" w:rsidR="00704C9C" w:rsidRPr="00AD67B3" w:rsidRDefault="000257AD" w:rsidP="001F3417">
      <w:pPr>
        <w:spacing w:before="120" w:after="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5EA95812" w14:textId="77777777" w:rsidR="003A776B" w:rsidRDefault="003A776B" w:rsidP="002F066A">
      <w:pPr>
        <w:pBdr>
          <w:top w:val="single" w:sz="4" w:space="1" w:color="auto"/>
        </w:pBdr>
        <w:spacing w:before="120"/>
        <w:rPr>
          <w:rFonts w:cs="Arial"/>
          <w:szCs w:val="24"/>
        </w:rPr>
      </w:pPr>
    </w:p>
    <w:p w14:paraId="263ABD6D" w14:textId="77777777" w:rsidR="003A776B" w:rsidRPr="00AD67B3" w:rsidRDefault="003A776B" w:rsidP="003A776B">
      <w:pPr>
        <w:pStyle w:val="ListParagraph"/>
        <w:ind w:left="0"/>
        <w:rPr>
          <w:rFonts w:cs="Arial"/>
        </w:rPr>
      </w:pPr>
      <w:r w:rsidRPr="00AD67B3">
        <w:rPr>
          <w:rFonts w:cs="Arial"/>
          <w:szCs w:val="24"/>
        </w:rPr>
        <w:t xml:space="preserve">If using assistive technology, please adjust your settings to recognize underline, </w:t>
      </w:r>
      <w:proofErr w:type="gramStart"/>
      <w:r w:rsidRPr="00AD67B3">
        <w:rPr>
          <w:rFonts w:cs="Arial"/>
          <w:szCs w:val="24"/>
        </w:rPr>
        <w:t>strikeout</w:t>
      </w:r>
      <w:proofErr w:type="gramEnd"/>
      <w:r w:rsidRPr="00AD67B3">
        <w:rPr>
          <w:rFonts w:cs="Arial"/>
          <w:szCs w:val="24"/>
        </w:rPr>
        <w:t xml:space="preserve"> and ellipsis.</w:t>
      </w:r>
    </w:p>
    <w:p w14:paraId="3681BD8A" w14:textId="77777777" w:rsidR="003A776B" w:rsidRPr="00AD67B3" w:rsidRDefault="003A776B" w:rsidP="00A63DC0">
      <w:pPr>
        <w:pStyle w:val="Heading2"/>
      </w:pPr>
      <w:r w:rsidRPr="00AD67B3">
        <w:t>LEGEND for EXPRESS TERMS (California only codes - Parts 1, 6, 8, 11, 12)</w:t>
      </w:r>
    </w:p>
    <w:p w14:paraId="2A5120CA" w14:textId="77777777" w:rsidR="003A776B" w:rsidRPr="00AD67B3" w:rsidRDefault="003A776B" w:rsidP="003A776B">
      <w:pPr>
        <w:pStyle w:val="ListParagraph"/>
        <w:numPr>
          <w:ilvl w:val="0"/>
          <w:numId w:val="6"/>
        </w:numPr>
        <w:rPr>
          <w:rFonts w:cs="Arial"/>
        </w:rPr>
      </w:pPr>
      <w:bookmarkStart w:id="0" w:name="_Hlk51751220"/>
      <w:r w:rsidRPr="00AD67B3">
        <w:rPr>
          <w:rFonts w:cs="Arial"/>
          <w:szCs w:val="24"/>
        </w:rPr>
        <w:t>Existing California amendments appear upright</w:t>
      </w:r>
    </w:p>
    <w:p w14:paraId="0563AE11" w14:textId="748D7613" w:rsidR="003A776B" w:rsidRPr="00AD67B3" w:rsidRDefault="003A776B" w:rsidP="003A776B">
      <w:pPr>
        <w:pStyle w:val="ListParagraph"/>
        <w:numPr>
          <w:ilvl w:val="0"/>
          <w:numId w:val="6"/>
        </w:numPr>
        <w:rPr>
          <w:rFonts w:cs="Arial"/>
        </w:rPr>
      </w:pPr>
      <w:r w:rsidRPr="00AD67B3">
        <w:rPr>
          <w:rFonts w:cs="Arial"/>
          <w:szCs w:val="24"/>
        </w:rPr>
        <w:t xml:space="preserve">Amended or new California amendments </w:t>
      </w:r>
      <w:r w:rsidR="009E47FF" w:rsidRPr="00AD67B3">
        <w:rPr>
          <w:rFonts w:cs="Arial"/>
          <w:szCs w:val="24"/>
        </w:rPr>
        <w:t>appears</w:t>
      </w:r>
      <w:r w:rsidRPr="00AD67B3">
        <w:rPr>
          <w:rFonts w:cs="Arial"/>
          <w:szCs w:val="24"/>
        </w:rPr>
        <w:t xml:space="preserve"> </w:t>
      </w:r>
      <w:r w:rsidRPr="00AD67B3">
        <w:rPr>
          <w:rFonts w:cs="Arial"/>
          <w:iCs/>
          <w:szCs w:val="24"/>
          <w:u w:val="single"/>
        </w:rPr>
        <w:t>underlined</w:t>
      </w:r>
    </w:p>
    <w:p w14:paraId="5C197CFE" w14:textId="77777777" w:rsidR="003A776B" w:rsidRPr="00AD67B3" w:rsidRDefault="003A776B" w:rsidP="003A776B">
      <w:pPr>
        <w:pStyle w:val="ListParagraph"/>
        <w:numPr>
          <w:ilvl w:val="0"/>
          <w:numId w:val="6"/>
        </w:numPr>
        <w:rPr>
          <w:rFonts w:cs="Arial"/>
        </w:rPr>
      </w:pPr>
      <w:r w:rsidRPr="00AD67B3">
        <w:rPr>
          <w:rFonts w:cs="Arial"/>
          <w:szCs w:val="24"/>
        </w:rPr>
        <w:t xml:space="preserve">Repealed California language appears </w:t>
      </w:r>
      <w:r w:rsidRPr="00AD67B3">
        <w:rPr>
          <w:rFonts w:cs="Arial"/>
          <w:strike/>
          <w:szCs w:val="24"/>
        </w:rPr>
        <w:t>upright and in strikeout</w:t>
      </w:r>
    </w:p>
    <w:p w14:paraId="58DD0CAA" w14:textId="77777777" w:rsidR="003A776B" w:rsidRPr="00AD67B3" w:rsidRDefault="003A776B" w:rsidP="003A776B">
      <w:pPr>
        <w:pStyle w:val="ListParagraph"/>
        <w:numPr>
          <w:ilvl w:val="0"/>
          <w:numId w:val="6"/>
        </w:numPr>
        <w:rPr>
          <w:rFonts w:cs="Arial"/>
        </w:rPr>
      </w:pPr>
      <w:r w:rsidRPr="00AD67B3">
        <w:rPr>
          <w:rFonts w:cs="Arial"/>
          <w:szCs w:val="24"/>
        </w:rPr>
        <w:t>Ellipsis (</w:t>
      </w:r>
      <w:r w:rsidRPr="00AD67B3">
        <w:rPr>
          <w:rFonts w:cs="Arial"/>
          <w:sz w:val="2"/>
          <w:szCs w:val="2"/>
        </w:rPr>
        <w:t xml:space="preserve"> </w:t>
      </w:r>
      <w:r w:rsidRPr="00AD67B3">
        <w:rPr>
          <w:rFonts w:cs="Arial"/>
          <w:szCs w:val="24"/>
        </w:rPr>
        <w:t>...) indicate existing text remains unchanged</w:t>
      </w:r>
    </w:p>
    <w:bookmarkEnd w:id="0"/>
    <w:p w14:paraId="185C1602" w14:textId="77777777" w:rsidR="002F066A" w:rsidRPr="00AD67B3" w:rsidRDefault="002F066A" w:rsidP="002F066A">
      <w:pPr>
        <w:pBdr>
          <w:bottom w:val="single" w:sz="4" w:space="1" w:color="auto"/>
        </w:pBdr>
        <w:rPr>
          <w:rFonts w:cs="Arial"/>
        </w:rPr>
      </w:pPr>
    </w:p>
    <w:p w14:paraId="1FC5034D" w14:textId="77777777" w:rsidR="002F066A" w:rsidRPr="00D406E8" w:rsidRDefault="002F066A" w:rsidP="002F066A">
      <w:pPr>
        <w:pStyle w:val="ListParagraph"/>
        <w:rPr>
          <w:rFonts w:cs="Arial"/>
          <w:sz w:val="10"/>
          <w:szCs w:val="10"/>
        </w:rPr>
      </w:pPr>
    </w:p>
    <w:p w14:paraId="2B68DF86" w14:textId="6D385E1D" w:rsidR="00D5409C" w:rsidRPr="00D5409C" w:rsidRDefault="00D5409C" w:rsidP="00D5409C">
      <w:pPr>
        <w:widowControl/>
        <w:jc w:val="both"/>
        <w:rPr>
          <w:rFonts w:cs="Arial"/>
          <w:snapToGrid/>
          <w:szCs w:val="24"/>
        </w:rPr>
      </w:pPr>
      <w:r w:rsidRPr="00D5409C">
        <w:rPr>
          <w:rFonts w:cs="Arial"/>
          <w:snapToGrid/>
          <w:szCs w:val="24"/>
        </w:rPr>
        <w:t xml:space="preserve">The Office of the State Fire Marshal </w:t>
      </w:r>
      <w:r w:rsidR="00817776">
        <w:rPr>
          <w:rFonts w:cs="Arial"/>
          <w:snapToGrid/>
          <w:szCs w:val="24"/>
        </w:rPr>
        <w:t xml:space="preserve">(SFM) proposes to adopt </w:t>
      </w:r>
      <w:r w:rsidRPr="00D5409C">
        <w:rPr>
          <w:rFonts w:cs="Arial"/>
          <w:snapToGrid/>
          <w:szCs w:val="24"/>
        </w:rPr>
        <w:t xml:space="preserve">the 2022 edition of the California </w:t>
      </w:r>
      <w:r w:rsidR="00791998">
        <w:rPr>
          <w:rFonts w:cs="Arial"/>
          <w:snapToGrid/>
          <w:szCs w:val="24"/>
        </w:rPr>
        <w:t>Referenced Standards</w:t>
      </w:r>
      <w:r w:rsidR="0044195B">
        <w:rPr>
          <w:rFonts w:cs="Arial"/>
          <w:snapToGrid/>
          <w:szCs w:val="24"/>
        </w:rPr>
        <w:t xml:space="preserve"> Code (</w:t>
      </w:r>
      <w:r w:rsidR="00791998">
        <w:rPr>
          <w:rFonts w:cs="Arial"/>
          <w:snapToGrid/>
          <w:szCs w:val="24"/>
        </w:rPr>
        <w:t>CRS</w:t>
      </w:r>
      <w:r w:rsidR="002E4DCD">
        <w:rPr>
          <w:rFonts w:cs="Arial"/>
          <w:snapToGrid/>
          <w:szCs w:val="24"/>
        </w:rPr>
        <w:t>C</w:t>
      </w:r>
      <w:r w:rsidRPr="00D5409C">
        <w:rPr>
          <w:rFonts w:cs="Arial"/>
          <w:snapToGrid/>
          <w:szCs w:val="24"/>
        </w:rPr>
        <w:t>). SFM further proposes to:</w:t>
      </w:r>
    </w:p>
    <w:p w14:paraId="7153EDD8" w14:textId="77777777" w:rsidR="00D5409C" w:rsidRPr="00D5409C" w:rsidRDefault="00D5409C" w:rsidP="00817776">
      <w:pPr>
        <w:widowControl/>
        <w:rPr>
          <w:rFonts w:cs="Arial"/>
          <w:snapToGrid/>
          <w:szCs w:val="24"/>
        </w:rPr>
      </w:pPr>
    </w:p>
    <w:p w14:paraId="73A4260F" w14:textId="2A7723BF" w:rsidR="007F7B89" w:rsidRPr="007F7B89" w:rsidRDefault="007F7B89" w:rsidP="007F7B89">
      <w:pPr>
        <w:widowControl/>
        <w:ind w:left="720"/>
        <w:rPr>
          <w:rFonts w:cs="Arial"/>
          <w:snapToGrid/>
          <w:szCs w:val="24"/>
        </w:rPr>
      </w:pPr>
      <w:r w:rsidRPr="007F7B89">
        <w:rPr>
          <w:rFonts w:cs="Arial"/>
          <w:snapToGrid/>
          <w:szCs w:val="24"/>
        </w:rPr>
        <w:t xml:space="preserve">Adopt new building standards or necessary amendments to the 2022 California </w:t>
      </w:r>
      <w:r>
        <w:rPr>
          <w:rFonts w:cs="Arial"/>
          <w:snapToGrid/>
          <w:szCs w:val="24"/>
        </w:rPr>
        <w:t>Reference Standards</w:t>
      </w:r>
      <w:r w:rsidRPr="007F7B89">
        <w:rPr>
          <w:rFonts w:cs="Arial"/>
          <w:snapToGrid/>
          <w:szCs w:val="24"/>
        </w:rPr>
        <w:t xml:space="preserve"> Code as they pertain to California laws</w:t>
      </w:r>
      <w:r>
        <w:rPr>
          <w:rFonts w:cs="Arial"/>
          <w:snapToGrid/>
          <w:szCs w:val="24"/>
        </w:rPr>
        <w:t xml:space="preserve"> and regulations</w:t>
      </w:r>
      <w:r w:rsidRPr="007F7B89">
        <w:rPr>
          <w:rFonts w:cs="Arial"/>
          <w:snapToGrid/>
          <w:szCs w:val="24"/>
        </w:rPr>
        <w:t>.</w:t>
      </w:r>
    </w:p>
    <w:p w14:paraId="1DB50272" w14:textId="3E90B984" w:rsidR="002F066A" w:rsidRPr="00AD67B3" w:rsidRDefault="002F066A" w:rsidP="002F066A">
      <w:pPr>
        <w:pStyle w:val="BodyText3"/>
        <w:pBdr>
          <w:bottom w:val="single" w:sz="4" w:space="1" w:color="auto"/>
        </w:pBdr>
        <w:spacing w:after="240" w:line="276" w:lineRule="auto"/>
        <w:jc w:val="left"/>
        <w:rPr>
          <w:rFonts w:cs="Arial"/>
          <w:szCs w:val="24"/>
        </w:rPr>
      </w:pPr>
    </w:p>
    <w:p w14:paraId="442B8D61" w14:textId="04FD8EEF" w:rsidR="000257AD" w:rsidRDefault="00983B0A" w:rsidP="00A63DC0">
      <w:pPr>
        <w:pStyle w:val="Heading2"/>
      </w:pPr>
      <w:r>
        <w:t>FINAL</w:t>
      </w:r>
      <w:r w:rsidR="006D74C1" w:rsidRPr="00AD67B3">
        <w:t xml:space="preserve"> </w:t>
      </w:r>
      <w:r w:rsidR="000257AD" w:rsidRPr="00AD67B3">
        <w:t>EXPRESS TERMS</w:t>
      </w:r>
    </w:p>
    <w:p w14:paraId="570BD05D" w14:textId="30DA7116" w:rsidR="00B711A7" w:rsidRDefault="00B711A7" w:rsidP="00A63DC0">
      <w:pPr>
        <w:pStyle w:val="Heading3"/>
        <w:rPr>
          <w:noProof/>
        </w:rPr>
      </w:pPr>
      <w:r w:rsidRPr="00AD67B3">
        <w:t xml:space="preserve">Item </w:t>
      </w:r>
      <w:r w:rsidR="00F42BE5">
        <w:rPr>
          <w:noProof/>
        </w:rPr>
        <w:t>1</w:t>
      </w:r>
      <w:r>
        <w:br/>
      </w:r>
      <w:r w:rsidRPr="00AD67B3">
        <w:t xml:space="preserve">Chapter </w:t>
      </w:r>
      <w:r w:rsidR="000130AC">
        <w:rPr>
          <w:noProof/>
        </w:rPr>
        <w:t>12-7A</w:t>
      </w:r>
      <w:r>
        <w:rPr>
          <w:noProof/>
        </w:rPr>
        <w:t xml:space="preserve">, </w:t>
      </w:r>
      <w:r w:rsidR="000130AC">
        <w:rPr>
          <w:noProof/>
        </w:rPr>
        <w:t>Materials and Construction methods for</w:t>
      </w:r>
      <w:r w:rsidR="0088209F" w:rsidRPr="0088209F">
        <w:rPr>
          <w:noProof/>
        </w:rPr>
        <w:t xml:space="preserve"> exterior</w:t>
      </w:r>
      <w:r w:rsidR="000130AC">
        <w:rPr>
          <w:noProof/>
        </w:rPr>
        <w:t xml:space="preserve"> wildfire exposure, Section SFM Standard 12-7A-5</w:t>
      </w:r>
    </w:p>
    <w:p w14:paraId="47311B9A" w14:textId="77777777" w:rsidR="007A32F6" w:rsidRPr="007A32F6" w:rsidRDefault="007A32F6" w:rsidP="007A32F6"/>
    <w:p w14:paraId="7D83FC2E" w14:textId="6B7A0246" w:rsidR="000130AC" w:rsidRPr="00061098" w:rsidRDefault="000130AC" w:rsidP="00061098">
      <w:pPr>
        <w:widowControl/>
        <w:autoSpaceDE w:val="0"/>
        <w:autoSpaceDN w:val="0"/>
        <w:adjustRightInd w:val="0"/>
        <w:spacing w:after="120"/>
        <w:jc w:val="center"/>
        <w:rPr>
          <w:rFonts w:eastAsiaTheme="minorHAnsi" w:cs="Arial"/>
          <w:b/>
          <w:i/>
          <w:strike/>
          <w:snapToGrid/>
        </w:rPr>
      </w:pPr>
      <w:r w:rsidRPr="00061098">
        <w:rPr>
          <w:rFonts w:eastAsiaTheme="minorHAnsi" w:cs="Arial"/>
          <w:b/>
          <w:bCs/>
          <w:strike/>
          <w:snapToGrid/>
          <w:szCs w:val="24"/>
        </w:rPr>
        <w:t>IGNITION-RESISTANT MATERIAL</w:t>
      </w:r>
      <w:r w:rsidR="00061098" w:rsidRPr="00061098">
        <w:rPr>
          <w:rFonts w:eastAsiaTheme="minorHAnsi" w:cs="Arial"/>
          <w:b/>
          <w:strike/>
          <w:snapToGrid/>
        </w:rPr>
        <w:br/>
      </w:r>
      <w:r w:rsidRPr="00061098">
        <w:rPr>
          <w:rFonts w:eastAsiaTheme="minorHAnsi" w:cs="Arial"/>
          <w:b/>
          <w:strike/>
          <w:snapToGrid/>
        </w:rPr>
        <w:t>SFM STANDARD 12-7A-5</w:t>
      </w:r>
    </w:p>
    <w:p w14:paraId="2E804AD9" w14:textId="74D8B49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 Application. </w:t>
      </w:r>
      <w:r w:rsidRPr="00061098">
        <w:rPr>
          <w:rFonts w:eastAsiaTheme="minorHAnsi" w:cs="Arial"/>
          <w:strike/>
          <w:snapToGrid/>
          <w:szCs w:val="24"/>
        </w:rPr>
        <w:t xml:space="preserve">The minimum design, construction and performance standards set forth herein for ignition-resistant materials are those deemed necessary to establish conformance to the provisions of these regulations. Materials and assemblies that meet the performance criteria of this standard are acceptable for use as defined in the </w:t>
      </w:r>
      <w:r w:rsidRPr="00061098">
        <w:rPr>
          <w:rFonts w:eastAsiaTheme="minorHAnsi" w:cs="Arial"/>
          <w:i/>
          <w:iCs/>
          <w:strike/>
          <w:snapToGrid/>
          <w:szCs w:val="24"/>
        </w:rPr>
        <w:t>California Building</w:t>
      </w:r>
      <w:r w:rsidRPr="00061098">
        <w:rPr>
          <w:rFonts w:eastAsiaTheme="minorHAnsi" w:cs="Arial"/>
          <w:strike/>
          <w:snapToGrid/>
          <w:szCs w:val="24"/>
        </w:rPr>
        <w:t xml:space="preserve"> </w:t>
      </w:r>
      <w:r w:rsidRPr="00061098">
        <w:rPr>
          <w:rFonts w:eastAsiaTheme="minorHAnsi" w:cs="Arial"/>
          <w:i/>
          <w:iCs/>
          <w:strike/>
          <w:snapToGrid/>
          <w:szCs w:val="24"/>
        </w:rPr>
        <w:t>Standards Code.</w:t>
      </w:r>
    </w:p>
    <w:p w14:paraId="0AC421F4" w14:textId="77777777"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lastRenderedPageBreak/>
        <w:t xml:space="preserve">12-7A-5.2 Scope. </w:t>
      </w:r>
      <w:r w:rsidRPr="00061098">
        <w:rPr>
          <w:rFonts w:eastAsiaTheme="minorHAnsi" w:cs="Arial"/>
          <w:strike/>
          <w:snapToGrid/>
          <w:szCs w:val="24"/>
        </w:rPr>
        <w:t>This standard determines the performance of ignition-resistant materials when exposed to embers and small flames.</w:t>
      </w:r>
    </w:p>
    <w:p w14:paraId="21574D2F"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p>
    <w:p w14:paraId="2D38B8C0" w14:textId="7777777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12-7A-5.3 Referenced documents.</w:t>
      </w:r>
    </w:p>
    <w:p w14:paraId="74146BD3" w14:textId="578BCECB"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ASTM E 84, Standard Test Method for Surface Burning Characteristics of Building Materials.</w:t>
      </w:r>
    </w:p>
    <w:p w14:paraId="21AAFCAD" w14:textId="298936F0" w:rsidR="000130AC" w:rsidRPr="00061098" w:rsidRDefault="000130AC" w:rsidP="00061098">
      <w:pPr>
        <w:pStyle w:val="ListParagraph"/>
        <w:widowControl/>
        <w:numPr>
          <w:ilvl w:val="0"/>
          <w:numId w:val="8"/>
        </w:numPr>
        <w:autoSpaceDE w:val="0"/>
        <w:autoSpaceDN w:val="0"/>
        <w:adjustRightInd w:val="0"/>
        <w:contextualSpacing w:val="0"/>
        <w:rPr>
          <w:rFonts w:eastAsiaTheme="minorHAnsi" w:cs="Arial"/>
          <w:strike/>
          <w:snapToGrid/>
          <w:szCs w:val="24"/>
        </w:rPr>
      </w:pPr>
      <w:r w:rsidRPr="00061098">
        <w:rPr>
          <w:rFonts w:eastAsiaTheme="minorHAnsi" w:cs="Arial"/>
          <w:strike/>
          <w:snapToGrid/>
          <w:szCs w:val="24"/>
        </w:rPr>
        <w:t>UL 723, Test for Surface Burning Characteristics of Building Materials.</w:t>
      </w:r>
    </w:p>
    <w:p w14:paraId="1858D7B1" w14:textId="3AAF7E6F" w:rsidR="000130AC" w:rsidRPr="00061098" w:rsidRDefault="000130AC" w:rsidP="00061098">
      <w:pPr>
        <w:pStyle w:val="ListParagraph"/>
        <w:widowControl/>
        <w:numPr>
          <w:ilvl w:val="0"/>
          <w:numId w:val="8"/>
        </w:numPr>
        <w:autoSpaceDE w:val="0"/>
        <w:autoSpaceDN w:val="0"/>
        <w:adjustRightInd w:val="0"/>
        <w:spacing w:after="120"/>
        <w:contextualSpacing w:val="0"/>
        <w:rPr>
          <w:rFonts w:eastAsiaTheme="minorHAnsi" w:cs="Arial"/>
          <w:strike/>
          <w:snapToGrid/>
          <w:szCs w:val="24"/>
        </w:rPr>
      </w:pPr>
      <w:r w:rsidRPr="00061098">
        <w:rPr>
          <w:rFonts w:eastAsiaTheme="minorHAnsi" w:cs="Arial"/>
          <w:i/>
          <w:iCs/>
          <w:strike/>
          <w:snapToGrid/>
          <w:szCs w:val="24"/>
        </w:rPr>
        <w:t>California Building Code</w:t>
      </w:r>
      <w:r w:rsidRPr="00061098">
        <w:rPr>
          <w:rFonts w:eastAsiaTheme="minorHAnsi" w:cs="Arial"/>
          <w:strike/>
          <w:snapToGrid/>
          <w:szCs w:val="24"/>
        </w:rPr>
        <w:t>, Chapter 7A.</w:t>
      </w:r>
    </w:p>
    <w:p w14:paraId="6ACECBC5" w14:textId="79924AC7" w:rsidR="000130AC" w:rsidRPr="00061098" w:rsidRDefault="000130AC" w:rsidP="00061098">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 xml:space="preserve">12-7A-5.4 Definitions. </w:t>
      </w:r>
      <w:r w:rsidRPr="00061098">
        <w:rPr>
          <w:rFonts w:eastAsiaTheme="minorHAnsi" w:cs="Arial"/>
          <w:strike/>
          <w:snapToGrid/>
          <w:szCs w:val="24"/>
        </w:rPr>
        <w:t xml:space="preserve">Ignition-resistant material A type of building material that resists ignition or sustained flaming combustion sufficiently </w:t>
      </w:r>
      <w:proofErr w:type="gramStart"/>
      <w:r w:rsidRPr="00061098">
        <w:rPr>
          <w:rFonts w:eastAsiaTheme="minorHAnsi" w:cs="Arial"/>
          <w:strike/>
          <w:snapToGrid/>
          <w:szCs w:val="24"/>
        </w:rPr>
        <w:t>so as to</w:t>
      </w:r>
      <w:proofErr w:type="gramEnd"/>
      <w:r w:rsidRPr="00061098">
        <w:rPr>
          <w:rFonts w:eastAsiaTheme="minorHAnsi" w:cs="Arial"/>
          <w:strike/>
          <w:snapToGrid/>
          <w:szCs w:val="24"/>
        </w:rPr>
        <w:t xml:space="preserve"> reduce losses from wildland-urban interface conflagrations under worst-case weather and fuel conditions with</w:t>
      </w:r>
      <w:r w:rsidRPr="00061098">
        <w:rPr>
          <w:rFonts w:eastAsiaTheme="minorHAnsi" w:cs="Arial"/>
          <w:b/>
          <w:bCs/>
          <w:strike/>
          <w:snapToGrid/>
          <w:szCs w:val="24"/>
        </w:rPr>
        <w:t xml:space="preserve"> </w:t>
      </w:r>
      <w:r w:rsidRPr="00061098">
        <w:rPr>
          <w:rFonts w:eastAsiaTheme="minorHAnsi" w:cs="Arial"/>
          <w:strike/>
          <w:snapToGrid/>
          <w:szCs w:val="24"/>
        </w:rPr>
        <w:t>wildfire exposure of burning embers and small flames, as prescribed in California Building Standards Code Section 703A.</w:t>
      </w:r>
    </w:p>
    <w:p w14:paraId="441EA7C4" w14:textId="7C4BA80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12-7A-5.5 Equipment. </w:t>
      </w:r>
      <w:r w:rsidRPr="00061098">
        <w:rPr>
          <w:rFonts w:eastAsiaTheme="minorHAnsi" w:cs="Arial"/>
          <w:strike/>
          <w:snapToGrid/>
          <w:szCs w:val="24"/>
        </w:rPr>
        <w:t>Equipment is to be in accordance with the tests specified in Section 12-7A-5.9 Conduct of Tests.</w:t>
      </w:r>
    </w:p>
    <w:p w14:paraId="7314F8BA" w14:textId="7D7B1359"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12-7A-5.6 Materials. </w:t>
      </w:r>
      <w:r w:rsidRPr="00061098">
        <w:rPr>
          <w:rFonts w:eastAsiaTheme="minorHAnsi" w:cs="Arial"/>
          <w:strike/>
          <w:snapToGrid/>
          <w:szCs w:val="24"/>
        </w:rPr>
        <w:t>Materials used are to be in accordance with the tests specified in Section 12-7A-5.9 Conduct of Tests.</w:t>
      </w:r>
    </w:p>
    <w:p w14:paraId="67BDA355" w14:textId="75A23DAE"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12-7A-5.7 Test specimen preparation. </w:t>
      </w:r>
      <w:r w:rsidRPr="00061098">
        <w:rPr>
          <w:rFonts w:eastAsiaTheme="minorHAnsi" w:cs="Arial"/>
          <w:strike/>
          <w:snapToGrid/>
          <w:szCs w:val="24"/>
        </w:rPr>
        <w:t>The test specimen is to be prepared in accordance with the tests specified in Section 12-7A-5.9 Conduct of Tests.</w:t>
      </w:r>
    </w:p>
    <w:p w14:paraId="5726C1A3" w14:textId="6C254241"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12-7A-5.8 Weathering. </w:t>
      </w:r>
      <w:r w:rsidRPr="00061098">
        <w:rPr>
          <w:rFonts w:eastAsiaTheme="minorHAnsi" w:cs="Arial"/>
          <w:strike/>
          <w:snapToGrid/>
          <w:szCs w:val="24"/>
        </w:rPr>
        <w:t>Weathering of materials shall be in accordance with California Building Code Section 703A Standards of Quality.</w:t>
      </w:r>
    </w:p>
    <w:p w14:paraId="0A83EDF3" w14:textId="6C6BB62A"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12-7A-5.9 Conduct of tests. </w:t>
      </w:r>
      <w:r w:rsidRPr="00061098">
        <w:rPr>
          <w:rFonts w:eastAsiaTheme="minorHAnsi" w:cs="Arial"/>
          <w:strike/>
          <w:snapToGrid/>
          <w:szCs w:val="24"/>
        </w:rPr>
        <w:t>When weathering is required by California Building Code Section 703A Standards of Quality, the materials to be tested shall be weathered in accordance with Section 12-7A-5.8 prior to testing in accordance with this Section. All materials shall be tested in accordance with the test procedures set forth in ASTM E 84 or UL 723 except that the test shall be continued for an additional 20 minutes for a total test period of 30 minutes.</w:t>
      </w:r>
    </w:p>
    <w:p w14:paraId="40FFDA3C" w14:textId="7B386184" w:rsidR="000130AC" w:rsidRPr="00061098" w:rsidRDefault="000130AC" w:rsidP="00061098">
      <w:pPr>
        <w:widowControl/>
        <w:autoSpaceDE w:val="0"/>
        <w:autoSpaceDN w:val="0"/>
        <w:adjustRightInd w:val="0"/>
        <w:spacing w:after="120"/>
        <w:rPr>
          <w:rFonts w:eastAsiaTheme="minorHAnsi" w:cs="Arial"/>
          <w:strike/>
          <w:snapToGrid/>
          <w:szCs w:val="24"/>
        </w:rPr>
      </w:pPr>
      <w:r w:rsidRPr="00061098">
        <w:rPr>
          <w:rFonts w:eastAsiaTheme="minorHAnsi" w:cs="Arial"/>
          <w:b/>
          <w:bCs/>
          <w:strike/>
          <w:snapToGrid/>
          <w:szCs w:val="24"/>
        </w:rPr>
        <w:t xml:space="preserve">12-7A-5.10 Report. </w:t>
      </w:r>
      <w:r w:rsidRPr="00061098">
        <w:rPr>
          <w:rFonts w:eastAsiaTheme="minorHAnsi" w:cs="Arial"/>
          <w:strike/>
          <w:snapToGrid/>
          <w:szCs w:val="24"/>
        </w:rPr>
        <w:t xml:space="preserve">The report shall include a description of the tested material, whether weathering was conducted, and the time and description of any degradation including but not limited </w:t>
      </w:r>
      <w:proofErr w:type="gramStart"/>
      <w:r w:rsidRPr="00061098">
        <w:rPr>
          <w:rFonts w:eastAsiaTheme="minorHAnsi" w:cs="Arial"/>
          <w:strike/>
          <w:snapToGrid/>
          <w:szCs w:val="24"/>
        </w:rPr>
        <w:t>to:</w:t>
      </w:r>
      <w:proofErr w:type="gramEnd"/>
      <w:r w:rsidRPr="00061098">
        <w:rPr>
          <w:rFonts w:eastAsiaTheme="minorHAnsi" w:cs="Arial"/>
          <w:strike/>
          <w:snapToGrid/>
          <w:szCs w:val="24"/>
        </w:rPr>
        <w:t xml:space="preserve"> structural failure, flaming drops or particles falling from the material during the test.</w:t>
      </w:r>
    </w:p>
    <w:p w14:paraId="3263FE1A" w14:textId="77777777" w:rsidR="000130AC" w:rsidRPr="00061098" w:rsidRDefault="000130AC" w:rsidP="00216BB6">
      <w:pPr>
        <w:widowControl/>
        <w:autoSpaceDE w:val="0"/>
        <w:autoSpaceDN w:val="0"/>
        <w:adjustRightInd w:val="0"/>
        <w:spacing w:after="120"/>
        <w:rPr>
          <w:rFonts w:eastAsiaTheme="minorHAnsi" w:cs="Arial"/>
          <w:b/>
          <w:bCs/>
          <w:strike/>
          <w:snapToGrid/>
          <w:szCs w:val="24"/>
        </w:rPr>
      </w:pPr>
      <w:r w:rsidRPr="00061098">
        <w:rPr>
          <w:rFonts w:eastAsiaTheme="minorHAnsi" w:cs="Arial"/>
          <w:b/>
          <w:bCs/>
          <w:strike/>
          <w:snapToGrid/>
          <w:szCs w:val="24"/>
        </w:rPr>
        <w:t>12-7A-5.11 Conditions of Acceptance:</w:t>
      </w:r>
    </w:p>
    <w:p w14:paraId="4117EECE" w14:textId="0976EBFA" w:rsidR="000130AC" w:rsidRPr="00061098" w:rsidRDefault="000130AC" w:rsidP="00775E4C">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spread. </w:t>
      </w:r>
      <w:r w:rsidRPr="00061098">
        <w:rPr>
          <w:rFonts w:eastAsiaTheme="minorHAnsi" w:cs="Arial"/>
          <w:strike/>
          <w:snapToGrid/>
          <w:szCs w:val="24"/>
        </w:rPr>
        <w:t>Materials shall exhibit a flame spread index not exceeding 25 and shall show no evidence of progressive combustion following the 30-minute test period.</w:t>
      </w:r>
    </w:p>
    <w:p w14:paraId="7F8BD7B8" w14:textId="51E094CF" w:rsidR="00204D65" w:rsidRPr="00204D65" w:rsidRDefault="000130AC" w:rsidP="00204D65">
      <w:pPr>
        <w:pStyle w:val="ListParagraph"/>
        <w:widowControl/>
        <w:numPr>
          <w:ilvl w:val="0"/>
          <w:numId w:val="10"/>
        </w:numPr>
        <w:autoSpaceDE w:val="0"/>
        <w:autoSpaceDN w:val="0"/>
        <w:adjustRightInd w:val="0"/>
        <w:rPr>
          <w:rFonts w:eastAsiaTheme="minorHAnsi" w:cs="Arial"/>
          <w:strike/>
          <w:snapToGrid/>
          <w:szCs w:val="24"/>
        </w:rPr>
      </w:pPr>
      <w:r w:rsidRPr="00061098">
        <w:rPr>
          <w:rFonts w:eastAsiaTheme="minorHAnsi" w:cs="Arial"/>
          <w:b/>
          <w:bCs/>
          <w:strike/>
          <w:snapToGrid/>
          <w:szCs w:val="24"/>
        </w:rPr>
        <w:t xml:space="preserve">Flame front. </w:t>
      </w:r>
      <w:r w:rsidRPr="00061098">
        <w:rPr>
          <w:rFonts w:eastAsiaTheme="minorHAnsi" w:cs="Arial"/>
          <w:strike/>
          <w:snapToGrid/>
          <w:szCs w:val="24"/>
        </w:rPr>
        <w:t>Materials shall exhibit a flame front that does not progress more than 101/2 feet (3200 mm) beyond the centerline of the burner at any time during the 30-minute test period.</w:t>
      </w:r>
    </w:p>
    <w:p w14:paraId="4A265262" w14:textId="77777777" w:rsidR="00512DEE" w:rsidRPr="00AD67B3" w:rsidRDefault="00512DEE" w:rsidP="00512DEE">
      <w:pPr>
        <w:spacing w:before="120"/>
        <w:rPr>
          <w:rFonts w:cs="Arial"/>
        </w:rPr>
      </w:pPr>
      <w:r w:rsidRPr="00AD67B3">
        <w:rPr>
          <w:rFonts w:cs="Arial"/>
          <w:b/>
        </w:rPr>
        <w:t>Notation:</w:t>
      </w:r>
    </w:p>
    <w:p w14:paraId="3B33619B" w14:textId="706A13DB" w:rsidR="00512DEE" w:rsidRPr="00E867F9" w:rsidRDefault="00512DEE" w:rsidP="00512DEE">
      <w:pPr>
        <w:spacing w:before="120"/>
        <w:rPr>
          <w:rFonts w:cs="Arial"/>
        </w:rPr>
      </w:pPr>
      <w:r w:rsidRPr="00E867F9">
        <w:rPr>
          <w:rFonts w:cs="Arial"/>
        </w:rPr>
        <w:t>Authority:</w:t>
      </w:r>
      <w:r w:rsidRPr="00E867F9">
        <w:rPr>
          <w:rFonts w:cs="Arial"/>
          <w:szCs w:val="24"/>
        </w:rPr>
        <w:t xml:space="preserve"> </w:t>
      </w:r>
      <w:r w:rsidRPr="00E867F9">
        <w:rPr>
          <w:rFonts w:cs="Arial"/>
          <w:bCs/>
          <w:szCs w:val="24"/>
        </w:rPr>
        <w:t xml:space="preserve">Health and Safety Code Sections 13108, 13108.5, 13113, 13113.5, 13114, 13132, 13143, 13143.2, 13143.6, 13145, 13146, 13210, 13211, 16022.5, 17921, 18949.2, 25500 through 25545, Government Code Section 51189, Public Education </w:t>
      </w:r>
      <w:r w:rsidRPr="00E867F9">
        <w:rPr>
          <w:rFonts w:cs="Arial"/>
          <w:bCs/>
          <w:szCs w:val="24"/>
        </w:rPr>
        <w:lastRenderedPageBreak/>
        <w:t>Code 17074.50.</w:t>
      </w:r>
    </w:p>
    <w:p w14:paraId="2AF8B9C8" w14:textId="78FA21DD" w:rsidR="007F7B89" w:rsidRPr="00061098" w:rsidRDefault="00512DEE" w:rsidP="00512DEE">
      <w:pPr>
        <w:spacing w:before="120"/>
        <w:rPr>
          <w:rFonts w:cs="Arial"/>
        </w:rPr>
      </w:pPr>
      <w:r w:rsidRPr="00E867F9">
        <w:rPr>
          <w:rFonts w:cs="Arial"/>
        </w:rPr>
        <w:t xml:space="preserve">Reference(s): </w:t>
      </w:r>
      <w:r w:rsidRPr="00E867F9">
        <w:rPr>
          <w:rFonts w:cs="Arial"/>
          <w:bCs/>
          <w:szCs w:val="24"/>
        </w:rPr>
        <w:t>Health and Safety Code Sections 13108, 13143, 13145, 13146, 13211, 16022.5, 17921, 18949.2, Government Code Sections 51176, 51177, 51178 and 51179, Public Resources Code Sections 4201 through 4204.</w:t>
      </w:r>
    </w:p>
    <w:sectPr w:rsidR="007F7B89" w:rsidRPr="00061098"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25C4" w14:textId="77777777" w:rsidR="00A154AA" w:rsidRDefault="00A154AA">
      <w:r>
        <w:separator/>
      </w:r>
    </w:p>
  </w:endnote>
  <w:endnote w:type="continuationSeparator" w:id="0">
    <w:p w14:paraId="44FE1165" w14:textId="77777777" w:rsidR="00A154AA" w:rsidRDefault="00A1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cs="Arial"/>
        <w:sz w:val="16"/>
      </w:rPr>
    </w:pPr>
  </w:p>
  <w:p w14:paraId="5F77EA81" w14:textId="7BA5F3CE" w:rsidR="0067477E" w:rsidRPr="00795E8F" w:rsidRDefault="00204D65" w:rsidP="0067477E">
    <w:pPr>
      <w:pStyle w:val="Footer"/>
      <w:tabs>
        <w:tab w:val="clear" w:pos="4320"/>
        <w:tab w:val="clear" w:pos="8640"/>
        <w:tab w:val="right" w:pos="9180"/>
      </w:tabs>
      <w:ind w:left="108"/>
      <w:rPr>
        <w:sz w:val="16"/>
      </w:rPr>
    </w:pPr>
    <w:bookmarkStart w:id="1" w:name="_Hlk78203129"/>
    <w:r w:rsidRPr="00795E8F">
      <w:rPr>
        <w:rFonts w:cs="Arial"/>
        <w:sz w:val="16"/>
      </w:rPr>
      <w:t>BSC TP-1</w:t>
    </w:r>
    <w:r>
      <w:rPr>
        <w:rFonts w:cs="Arial"/>
        <w:sz w:val="16"/>
      </w:rPr>
      <w:t>0</w:t>
    </w:r>
    <w:r w:rsidR="00DD51D1">
      <w:rPr>
        <w:rFonts w:cs="Arial"/>
        <w:sz w:val="16"/>
      </w:rPr>
      <w:t>5</w:t>
    </w:r>
    <w:r w:rsidRPr="00795E8F">
      <w:rPr>
        <w:rFonts w:cs="Arial"/>
        <w:sz w:val="16"/>
      </w:rPr>
      <w:t xml:space="preserve"> (Rev. 10/20) </w:t>
    </w:r>
    <w:r w:rsidR="00DD51D1">
      <w:rPr>
        <w:rFonts w:cs="Arial"/>
        <w:sz w:val="16"/>
      </w:rPr>
      <w:t>Final</w:t>
    </w:r>
    <w:r w:rsidRPr="00795E8F">
      <w:rPr>
        <w:rFonts w:cs="Arial"/>
        <w:sz w:val="16"/>
      </w:rPr>
      <w:t xml:space="preserve"> Express Terms</w:t>
    </w:r>
    <w:bookmarkEnd w:id="1"/>
    <w:r>
      <w:rPr>
        <w:sz w:val="16"/>
      </w:rPr>
      <w:t xml:space="preserve">                                                                                                   </w:t>
    </w:r>
    <w:r w:rsidR="00DD51D1">
      <w:rPr>
        <w:sz w:val="16"/>
      </w:rPr>
      <w:t>December 16</w:t>
    </w:r>
    <w:r>
      <w:rPr>
        <w:sz w:val="16"/>
      </w:rPr>
      <w:t xml:space="preserve">, </w:t>
    </w:r>
    <w:r w:rsidR="009E471D" w:rsidRPr="009E471D">
      <w:rPr>
        <w:sz w:val="16"/>
      </w:rPr>
      <w:t>2021</w:t>
    </w:r>
  </w:p>
  <w:p w14:paraId="166C3041" w14:textId="2887278A" w:rsidR="0067477E" w:rsidRDefault="0067477E" w:rsidP="0067477E">
    <w:pPr>
      <w:pStyle w:val="Footer"/>
      <w:tabs>
        <w:tab w:val="clear" w:pos="4320"/>
        <w:tab w:val="clear" w:pos="8640"/>
        <w:tab w:val="center" w:pos="5040"/>
        <w:tab w:val="right" w:pos="9180"/>
      </w:tabs>
      <w:ind w:left="108"/>
      <w:rPr>
        <w:sz w:val="16"/>
      </w:rPr>
    </w:pPr>
    <w:r w:rsidRPr="00795E8F">
      <w:rPr>
        <w:rFonts w:cs="Arial"/>
        <w:sz w:val="16"/>
      </w:rPr>
      <w:t xml:space="preserve">Rulemaking </w:t>
    </w:r>
    <w:r w:rsidR="00921D6C" w:rsidRPr="00795E8F">
      <w:rPr>
        <w:rFonts w:cs="Arial"/>
        <w:sz w:val="16"/>
      </w:rPr>
      <w:t xml:space="preserve">File </w:t>
    </w:r>
    <w:r w:rsidR="009E471D" w:rsidRPr="009E471D">
      <w:rPr>
        <w:rFonts w:cs="Arial"/>
        <w:sz w:val="16"/>
      </w:rPr>
      <w:t>SFM 08/21</w:t>
    </w:r>
    <w:r w:rsidR="009E471D">
      <w:rPr>
        <w:rFonts w:cs="Arial"/>
        <w:sz w:val="16"/>
      </w:rPr>
      <w:t xml:space="preserve"> </w:t>
    </w:r>
    <w:r w:rsidR="009E471D" w:rsidRPr="00795E8F">
      <w:rPr>
        <w:rFonts w:cs="Arial"/>
        <w:sz w:val="16"/>
      </w:rPr>
      <w:t>–</w:t>
    </w:r>
    <w:r w:rsidRPr="00795E8F">
      <w:rPr>
        <w:rFonts w:cs="Arial"/>
        <w:sz w:val="16"/>
      </w:rPr>
      <w:t xml:space="preserve"> </w:t>
    </w:r>
    <w:r w:rsidR="003A776B">
      <w:rPr>
        <w:rFonts w:cs="Arial"/>
        <w:sz w:val="16"/>
      </w:rPr>
      <w:t>Part 1</w:t>
    </w:r>
    <w:r w:rsidR="00694AE8">
      <w:rPr>
        <w:rFonts w:cs="Arial"/>
        <w:sz w:val="16"/>
      </w:rPr>
      <w:t>2</w:t>
    </w:r>
    <w:r w:rsidRPr="00795E8F">
      <w:rPr>
        <w:rFonts w:cs="Arial"/>
        <w:sz w:val="16"/>
      </w:rPr>
      <w:t xml:space="preserve"> </w:t>
    </w:r>
    <w:r w:rsidR="00795E8F" w:rsidRPr="00795E8F">
      <w:rPr>
        <w:rFonts w:cs="Arial"/>
        <w:sz w:val="16"/>
      </w:rPr>
      <w:t>–</w:t>
    </w:r>
    <w:r w:rsidR="009E471D">
      <w:rPr>
        <w:rFonts w:cs="Arial"/>
        <w:sz w:val="16"/>
      </w:rPr>
      <w:t xml:space="preserve"> </w:t>
    </w:r>
    <w:r w:rsidR="009E471D" w:rsidRPr="009E471D">
      <w:rPr>
        <w:rFonts w:cs="Arial"/>
        <w:sz w:val="16"/>
      </w:rPr>
      <w:t xml:space="preserve">2021 Tri </w:t>
    </w:r>
    <w:r w:rsidRPr="00795E8F">
      <w:rPr>
        <w:rFonts w:cs="Arial"/>
        <w:sz w:val="16"/>
      </w:rPr>
      <w:t>Code Cycle</w:t>
    </w:r>
    <w:r w:rsidRPr="00795E8F">
      <w:rPr>
        <w:sz w:val="16"/>
      </w:rPr>
      <w:tab/>
    </w:r>
    <w:r w:rsidR="00921D6C" w:rsidRPr="00795E8F">
      <w:rPr>
        <w:sz w:val="16"/>
      </w:rPr>
      <w:tab/>
    </w:r>
    <w:r w:rsidR="009E471D" w:rsidRPr="009E471D">
      <w:rPr>
        <w:sz w:val="16"/>
      </w:rPr>
      <w:t>Pt 12</w:t>
    </w:r>
    <w:r w:rsidR="00204D65">
      <w:rPr>
        <w:sz w:val="16"/>
      </w:rPr>
      <w:t xml:space="preserve"> </w:t>
    </w:r>
    <w:r w:rsidR="00DD51D1">
      <w:rPr>
        <w:sz w:val="16"/>
      </w:rPr>
      <w:t>Final</w:t>
    </w:r>
    <w:r w:rsidR="00204D65">
      <w:rPr>
        <w:sz w:val="16"/>
      </w:rPr>
      <w:t xml:space="preserve"> ET</w:t>
    </w:r>
    <w:r w:rsidR="009E471D" w:rsidRPr="009E471D">
      <w:rPr>
        <w:sz w:val="16"/>
      </w:rPr>
      <w:t xml:space="preserve"> </w:t>
    </w:r>
  </w:p>
  <w:p w14:paraId="4F83FBD6" w14:textId="493A870A" w:rsidR="0067477E" w:rsidRDefault="00204D65" w:rsidP="0067477E">
    <w:pPr>
      <w:pStyle w:val="Footer"/>
      <w:tabs>
        <w:tab w:val="clear" w:pos="4320"/>
        <w:tab w:val="clear" w:pos="8640"/>
        <w:tab w:val="center" w:pos="4806"/>
        <w:tab w:val="right" w:pos="9180"/>
      </w:tabs>
      <w:ind w:left="108"/>
      <w:rPr>
        <w:sz w:val="16"/>
      </w:rPr>
    </w:pPr>
    <w:r>
      <w:rPr>
        <w:sz w:val="16"/>
      </w:rPr>
      <w:t xml:space="preserve">Office of the </w:t>
    </w:r>
    <w:r w:rsidR="009E471D" w:rsidRPr="009E471D">
      <w:rPr>
        <w:sz w:val="16"/>
      </w:rPr>
      <w:t>State Fire Marshal</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4B2598">
      <w:rPr>
        <w:rStyle w:val="PageNumber"/>
        <w:rFonts w:cs="Arial"/>
        <w:noProof/>
        <w:sz w:val="16"/>
      </w:rPr>
      <w:t>1</w:t>
    </w:r>
    <w:r w:rsidR="00921D6C" w:rsidRPr="00B1767F">
      <w:rPr>
        <w:rStyle w:val="PageNumber"/>
        <w:rFonts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4391" w14:textId="77777777" w:rsidR="00A154AA" w:rsidRDefault="00A154AA">
      <w:r>
        <w:separator/>
      </w:r>
    </w:p>
  </w:footnote>
  <w:footnote w:type="continuationSeparator" w:id="0">
    <w:p w14:paraId="1B448275" w14:textId="77777777" w:rsidR="00A154AA" w:rsidRDefault="00A1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3F0"/>
    <w:multiLevelType w:val="hybridMultilevel"/>
    <w:tmpl w:val="33965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2298E"/>
    <w:multiLevelType w:val="hybridMultilevel"/>
    <w:tmpl w:val="A546D6BA"/>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6421B"/>
    <w:multiLevelType w:val="hybridMultilevel"/>
    <w:tmpl w:val="9B84C560"/>
    <w:lvl w:ilvl="0" w:tplc="D82A72B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65581"/>
    <w:multiLevelType w:val="hybridMultilevel"/>
    <w:tmpl w:val="A96874F4"/>
    <w:lvl w:ilvl="0" w:tplc="D82A7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8"/>
  </w:num>
  <w:num w:numId="5">
    <w:abstractNumId w:val="2"/>
  </w:num>
  <w:num w:numId="6">
    <w:abstractNumId w:val="7"/>
  </w:num>
  <w:num w:numId="7">
    <w:abstractNumId w:val="0"/>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0AC"/>
    <w:rsid w:val="00016692"/>
    <w:rsid w:val="000257AD"/>
    <w:rsid w:val="000322FB"/>
    <w:rsid w:val="00050DCC"/>
    <w:rsid w:val="00061098"/>
    <w:rsid w:val="00075057"/>
    <w:rsid w:val="000846ED"/>
    <w:rsid w:val="00093C24"/>
    <w:rsid w:val="000A2D7E"/>
    <w:rsid w:val="000E24B4"/>
    <w:rsid w:val="000F25B5"/>
    <w:rsid w:val="00111ECF"/>
    <w:rsid w:val="00123F82"/>
    <w:rsid w:val="00134E9B"/>
    <w:rsid w:val="00137624"/>
    <w:rsid w:val="00137C19"/>
    <w:rsid w:val="00140550"/>
    <w:rsid w:val="00161141"/>
    <w:rsid w:val="0016695D"/>
    <w:rsid w:val="001701D4"/>
    <w:rsid w:val="00175449"/>
    <w:rsid w:val="001911F8"/>
    <w:rsid w:val="001A01F8"/>
    <w:rsid w:val="001A2431"/>
    <w:rsid w:val="001B4980"/>
    <w:rsid w:val="001D65BC"/>
    <w:rsid w:val="001E635B"/>
    <w:rsid w:val="001E690C"/>
    <w:rsid w:val="001F3417"/>
    <w:rsid w:val="00203931"/>
    <w:rsid w:val="0020450E"/>
    <w:rsid w:val="00204D65"/>
    <w:rsid w:val="00216BB6"/>
    <w:rsid w:val="00231590"/>
    <w:rsid w:val="00234A84"/>
    <w:rsid w:val="002604E2"/>
    <w:rsid w:val="00264CAB"/>
    <w:rsid w:val="0027362E"/>
    <w:rsid w:val="002878A0"/>
    <w:rsid w:val="00293D4E"/>
    <w:rsid w:val="0029680A"/>
    <w:rsid w:val="002A2507"/>
    <w:rsid w:val="002A4D52"/>
    <w:rsid w:val="002A55E0"/>
    <w:rsid w:val="002B17CA"/>
    <w:rsid w:val="002C03CE"/>
    <w:rsid w:val="002C62F7"/>
    <w:rsid w:val="002D4999"/>
    <w:rsid w:val="002D4E51"/>
    <w:rsid w:val="002E03D9"/>
    <w:rsid w:val="002E289C"/>
    <w:rsid w:val="002E4DCD"/>
    <w:rsid w:val="002F066A"/>
    <w:rsid w:val="002F0BC3"/>
    <w:rsid w:val="002F34EB"/>
    <w:rsid w:val="002F69F8"/>
    <w:rsid w:val="00301410"/>
    <w:rsid w:val="0030639B"/>
    <w:rsid w:val="00311BF6"/>
    <w:rsid w:val="00366D45"/>
    <w:rsid w:val="003775C0"/>
    <w:rsid w:val="00377D49"/>
    <w:rsid w:val="00394567"/>
    <w:rsid w:val="00397C91"/>
    <w:rsid w:val="003A5EC5"/>
    <w:rsid w:val="003A776B"/>
    <w:rsid w:val="003F11AA"/>
    <w:rsid w:val="003F7FD6"/>
    <w:rsid w:val="004202E5"/>
    <w:rsid w:val="00422C4F"/>
    <w:rsid w:val="004259A3"/>
    <w:rsid w:val="004342F6"/>
    <w:rsid w:val="0044195B"/>
    <w:rsid w:val="004460B5"/>
    <w:rsid w:val="00450434"/>
    <w:rsid w:val="00450692"/>
    <w:rsid w:val="00457CDC"/>
    <w:rsid w:val="004624C8"/>
    <w:rsid w:val="00465D5D"/>
    <w:rsid w:val="00485D4B"/>
    <w:rsid w:val="004A129E"/>
    <w:rsid w:val="004A283B"/>
    <w:rsid w:val="004A7B6F"/>
    <w:rsid w:val="004B2598"/>
    <w:rsid w:val="004B2AB9"/>
    <w:rsid w:val="004C0306"/>
    <w:rsid w:val="004D35C6"/>
    <w:rsid w:val="004F2905"/>
    <w:rsid w:val="004F7D3A"/>
    <w:rsid w:val="00507BB7"/>
    <w:rsid w:val="00512DEE"/>
    <w:rsid w:val="00513451"/>
    <w:rsid w:val="00516093"/>
    <w:rsid w:val="005172C4"/>
    <w:rsid w:val="00543258"/>
    <w:rsid w:val="00560969"/>
    <w:rsid w:val="00562BB3"/>
    <w:rsid w:val="00563727"/>
    <w:rsid w:val="00566465"/>
    <w:rsid w:val="00580042"/>
    <w:rsid w:val="005B7599"/>
    <w:rsid w:val="005E162F"/>
    <w:rsid w:val="005E6371"/>
    <w:rsid w:val="005F1F14"/>
    <w:rsid w:val="005F7944"/>
    <w:rsid w:val="00602139"/>
    <w:rsid w:val="00607C91"/>
    <w:rsid w:val="0067477E"/>
    <w:rsid w:val="00686311"/>
    <w:rsid w:val="00694AE8"/>
    <w:rsid w:val="006A2DAE"/>
    <w:rsid w:val="006C5EE3"/>
    <w:rsid w:val="006D1D61"/>
    <w:rsid w:val="006D5BFB"/>
    <w:rsid w:val="006D74C1"/>
    <w:rsid w:val="006F097F"/>
    <w:rsid w:val="00700726"/>
    <w:rsid w:val="0070359F"/>
    <w:rsid w:val="00704C9C"/>
    <w:rsid w:val="007105E9"/>
    <w:rsid w:val="00713507"/>
    <w:rsid w:val="00723710"/>
    <w:rsid w:val="00723F31"/>
    <w:rsid w:val="007259FB"/>
    <w:rsid w:val="007318E3"/>
    <w:rsid w:val="00753D9A"/>
    <w:rsid w:val="00761F21"/>
    <w:rsid w:val="00770113"/>
    <w:rsid w:val="007729B3"/>
    <w:rsid w:val="00775E4C"/>
    <w:rsid w:val="007809A0"/>
    <w:rsid w:val="007872FD"/>
    <w:rsid w:val="00791998"/>
    <w:rsid w:val="00795E8F"/>
    <w:rsid w:val="007A32F6"/>
    <w:rsid w:val="007C0129"/>
    <w:rsid w:val="007E2021"/>
    <w:rsid w:val="007F7B89"/>
    <w:rsid w:val="00810A22"/>
    <w:rsid w:val="00817776"/>
    <w:rsid w:val="00823527"/>
    <w:rsid w:val="00842C69"/>
    <w:rsid w:val="00862638"/>
    <w:rsid w:val="00866236"/>
    <w:rsid w:val="00870778"/>
    <w:rsid w:val="00871C24"/>
    <w:rsid w:val="0088209F"/>
    <w:rsid w:val="00882205"/>
    <w:rsid w:val="00883C99"/>
    <w:rsid w:val="00883D1D"/>
    <w:rsid w:val="00887F13"/>
    <w:rsid w:val="008A2AC5"/>
    <w:rsid w:val="008A3FAD"/>
    <w:rsid w:val="008A6CD2"/>
    <w:rsid w:val="008B4B9E"/>
    <w:rsid w:val="008D248B"/>
    <w:rsid w:val="008D4AD2"/>
    <w:rsid w:val="008D5AAC"/>
    <w:rsid w:val="008E0E16"/>
    <w:rsid w:val="008E36A8"/>
    <w:rsid w:val="008E62B7"/>
    <w:rsid w:val="008E7403"/>
    <w:rsid w:val="00904FC3"/>
    <w:rsid w:val="00920F3B"/>
    <w:rsid w:val="00921D6C"/>
    <w:rsid w:val="009252C5"/>
    <w:rsid w:val="00945696"/>
    <w:rsid w:val="00953AFE"/>
    <w:rsid w:val="00957E07"/>
    <w:rsid w:val="00963B5E"/>
    <w:rsid w:val="00971E37"/>
    <w:rsid w:val="00983B0A"/>
    <w:rsid w:val="0098452E"/>
    <w:rsid w:val="00991147"/>
    <w:rsid w:val="00992CB9"/>
    <w:rsid w:val="0099699F"/>
    <w:rsid w:val="009A09B4"/>
    <w:rsid w:val="009A693A"/>
    <w:rsid w:val="009B6566"/>
    <w:rsid w:val="009E471D"/>
    <w:rsid w:val="009E47FF"/>
    <w:rsid w:val="009E6B12"/>
    <w:rsid w:val="009E7724"/>
    <w:rsid w:val="009F0690"/>
    <w:rsid w:val="009F2D71"/>
    <w:rsid w:val="009F629A"/>
    <w:rsid w:val="00A05BDA"/>
    <w:rsid w:val="00A1011F"/>
    <w:rsid w:val="00A10600"/>
    <w:rsid w:val="00A127D7"/>
    <w:rsid w:val="00A145A2"/>
    <w:rsid w:val="00A154AA"/>
    <w:rsid w:val="00A21DD3"/>
    <w:rsid w:val="00A35A21"/>
    <w:rsid w:val="00A42FB7"/>
    <w:rsid w:val="00A537F1"/>
    <w:rsid w:val="00A60CA1"/>
    <w:rsid w:val="00A63DC0"/>
    <w:rsid w:val="00A6438F"/>
    <w:rsid w:val="00A772AE"/>
    <w:rsid w:val="00A97432"/>
    <w:rsid w:val="00AA1609"/>
    <w:rsid w:val="00AA21C3"/>
    <w:rsid w:val="00AC1F10"/>
    <w:rsid w:val="00AC28AD"/>
    <w:rsid w:val="00AC6024"/>
    <w:rsid w:val="00AD0174"/>
    <w:rsid w:val="00AD5AC1"/>
    <w:rsid w:val="00AD67B3"/>
    <w:rsid w:val="00AF336D"/>
    <w:rsid w:val="00AF4E96"/>
    <w:rsid w:val="00AF76CF"/>
    <w:rsid w:val="00B057F2"/>
    <w:rsid w:val="00B21B81"/>
    <w:rsid w:val="00B35333"/>
    <w:rsid w:val="00B70204"/>
    <w:rsid w:val="00B711A7"/>
    <w:rsid w:val="00B9177E"/>
    <w:rsid w:val="00BA52A0"/>
    <w:rsid w:val="00BC0A2A"/>
    <w:rsid w:val="00BC7FAB"/>
    <w:rsid w:val="00BD6A83"/>
    <w:rsid w:val="00BE0CDA"/>
    <w:rsid w:val="00BF54A1"/>
    <w:rsid w:val="00C001E2"/>
    <w:rsid w:val="00C14134"/>
    <w:rsid w:val="00C17D58"/>
    <w:rsid w:val="00C37C6F"/>
    <w:rsid w:val="00C40F99"/>
    <w:rsid w:val="00C57320"/>
    <w:rsid w:val="00C64A99"/>
    <w:rsid w:val="00C6551C"/>
    <w:rsid w:val="00C665B9"/>
    <w:rsid w:val="00C67B72"/>
    <w:rsid w:val="00C80CF6"/>
    <w:rsid w:val="00CA03AA"/>
    <w:rsid w:val="00CB3F5F"/>
    <w:rsid w:val="00CC2CDF"/>
    <w:rsid w:val="00CD263D"/>
    <w:rsid w:val="00CE6703"/>
    <w:rsid w:val="00CF3372"/>
    <w:rsid w:val="00CF5396"/>
    <w:rsid w:val="00D17F8A"/>
    <w:rsid w:val="00D31125"/>
    <w:rsid w:val="00D406E8"/>
    <w:rsid w:val="00D41C4C"/>
    <w:rsid w:val="00D42999"/>
    <w:rsid w:val="00D460CD"/>
    <w:rsid w:val="00D5409C"/>
    <w:rsid w:val="00D603B0"/>
    <w:rsid w:val="00D65066"/>
    <w:rsid w:val="00D70B8E"/>
    <w:rsid w:val="00D72A17"/>
    <w:rsid w:val="00D91AE2"/>
    <w:rsid w:val="00DA4AA4"/>
    <w:rsid w:val="00DA4B59"/>
    <w:rsid w:val="00DB4F0C"/>
    <w:rsid w:val="00DD1C2E"/>
    <w:rsid w:val="00DD51D1"/>
    <w:rsid w:val="00DE620D"/>
    <w:rsid w:val="00DF180E"/>
    <w:rsid w:val="00E025B5"/>
    <w:rsid w:val="00E229CB"/>
    <w:rsid w:val="00E3790F"/>
    <w:rsid w:val="00E37C10"/>
    <w:rsid w:val="00E434EC"/>
    <w:rsid w:val="00E53D35"/>
    <w:rsid w:val="00E63331"/>
    <w:rsid w:val="00E65CE6"/>
    <w:rsid w:val="00E8348F"/>
    <w:rsid w:val="00EB2BA3"/>
    <w:rsid w:val="00ED0ADA"/>
    <w:rsid w:val="00EF26E2"/>
    <w:rsid w:val="00EF2AF7"/>
    <w:rsid w:val="00F01468"/>
    <w:rsid w:val="00F06528"/>
    <w:rsid w:val="00F152F2"/>
    <w:rsid w:val="00F163D3"/>
    <w:rsid w:val="00F17139"/>
    <w:rsid w:val="00F17E30"/>
    <w:rsid w:val="00F278E0"/>
    <w:rsid w:val="00F34DC4"/>
    <w:rsid w:val="00F42108"/>
    <w:rsid w:val="00F42BE5"/>
    <w:rsid w:val="00F51571"/>
    <w:rsid w:val="00F54B78"/>
    <w:rsid w:val="00F6160C"/>
    <w:rsid w:val="00F743F7"/>
    <w:rsid w:val="00F768B4"/>
    <w:rsid w:val="00F91273"/>
    <w:rsid w:val="00F9279C"/>
    <w:rsid w:val="00F94286"/>
    <w:rsid w:val="00FB1D64"/>
    <w:rsid w:val="00FB7064"/>
    <w:rsid w:val="00FD2D88"/>
    <w:rsid w:val="00FD45EA"/>
    <w:rsid w:val="00FE2B02"/>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DC0"/>
    <w:pPr>
      <w:widowControl w:val="0"/>
    </w:pPr>
    <w:rPr>
      <w:rFonts w:ascii="Arial" w:hAnsi="Arial"/>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b/>
    </w:rPr>
  </w:style>
  <w:style w:type="paragraph" w:styleId="Heading2">
    <w:name w:val="heading 2"/>
    <w:basedOn w:val="Normal"/>
    <w:next w:val="Normal"/>
    <w:qFormat/>
    <w:rsid w:val="00A63DC0"/>
    <w:pPr>
      <w:keepNext/>
      <w:widowControl/>
      <w:spacing w:before="120"/>
      <w:outlineLvl w:val="1"/>
    </w:pPr>
    <w:rPr>
      <w:b/>
    </w:rPr>
  </w:style>
  <w:style w:type="paragraph" w:styleId="Heading3">
    <w:name w:val="heading 3"/>
    <w:basedOn w:val="Heading2"/>
    <w:next w:val="Normal"/>
    <w:link w:val="Heading3Char"/>
    <w:unhideWhenUsed/>
    <w:qFormat/>
    <w:rsid w:val="00A63DC0"/>
    <w:pPr>
      <w:outlineLvl w:val="2"/>
    </w:pPr>
    <w:rPr>
      <w:rFonts w:cs="Arial"/>
    </w:rPr>
  </w:style>
  <w:style w:type="paragraph" w:styleId="Heading4">
    <w:name w:val="heading 4"/>
    <w:basedOn w:val="Normal"/>
    <w:next w:val="Normal"/>
    <w:link w:val="Heading4Char"/>
    <w:semiHidden/>
    <w:unhideWhenUsed/>
    <w:qFormat/>
    <w:rsid w:val="000130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4Char">
    <w:name w:val="Heading 4 Char"/>
    <w:basedOn w:val="DefaultParagraphFont"/>
    <w:link w:val="Heading4"/>
    <w:semiHidden/>
    <w:rsid w:val="000130AC"/>
    <w:rPr>
      <w:rFonts w:asciiTheme="majorHAnsi" w:eastAsiaTheme="majorEastAsia" w:hAnsiTheme="majorHAnsi" w:cstheme="majorBidi"/>
      <w:i/>
      <w:iCs/>
      <w:snapToGrid w:val="0"/>
      <w:color w:val="365F91" w:themeColor="accent1" w:themeShade="BF"/>
      <w:sz w:val="24"/>
    </w:rPr>
  </w:style>
  <w:style w:type="paragraph" w:customStyle="1" w:styleId="TableParagraph">
    <w:name w:val="Table Paragraph"/>
    <w:basedOn w:val="Normal"/>
    <w:uiPriority w:val="1"/>
    <w:qFormat/>
    <w:rsid w:val="00366D45"/>
    <w:pPr>
      <w:autoSpaceDE w:val="0"/>
      <w:autoSpaceDN w:val="0"/>
      <w:spacing w:before="7"/>
      <w:ind w:left="59"/>
    </w:pPr>
    <w:rPr>
      <w:rFonts w:ascii="Times New Roman" w:hAnsi="Times New Roman"/>
      <w:snapToGrid/>
      <w:sz w:val="22"/>
      <w:szCs w:val="22"/>
    </w:rPr>
  </w:style>
  <w:style w:type="paragraph" w:styleId="Revision">
    <w:name w:val="Revision"/>
    <w:hidden/>
    <w:uiPriority w:val="99"/>
    <w:semiHidden/>
    <w:rsid w:val="00516093"/>
    <w:rPr>
      <w:rFonts w:ascii="Arial" w:hAnsi="Arial"/>
      <w:snapToGrid w:val="0"/>
      <w:sz w:val="24"/>
    </w:rPr>
  </w:style>
  <w:style w:type="character" w:customStyle="1" w:styleId="Heading3Char">
    <w:name w:val="Heading 3 Char"/>
    <w:basedOn w:val="DefaultParagraphFont"/>
    <w:link w:val="Heading3"/>
    <w:rsid w:val="00A63DC0"/>
    <w:rPr>
      <w:rFonts w:ascii="Arial" w:hAnsi="Arial" w:cs="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3EB67-DD7E-47C0-AA12-3BAA1B00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708</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SFM-08-21-FET-PT12</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SFM-08-21-FET-PT12-SOS Filing</dc:title>
  <dc:creator>CBSC</dc:creator>
  <cp:lastModifiedBy>Hagler, Carol@DGS</cp:lastModifiedBy>
  <cp:revision>9</cp:revision>
  <cp:lastPrinted>2021-05-03T12:54:00Z</cp:lastPrinted>
  <dcterms:created xsi:type="dcterms:W3CDTF">2021-12-16T20:52:00Z</dcterms:created>
  <dcterms:modified xsi:type="dcterms:W3CDTF">2022-03-05T00:03:00Z</dcterms:modified>
</cp:coreProperties>
</file>