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FA1C" w14:textId="104215A4" w:rsidR="00F803F4" w:rsidRPr="00F803F4" w:rsidRDefault="00F803F4" w:rsidP="00F803F4">
      <w:pPr>
        <w:pStyle w:val="Heading1"/>
        <w:spacing w:after="240"/>
        <w:jc w:val="center"/>
        <w:rPr>
          <w:rFonts w:ascii="Century Gothic" w:hAnsi="Century Gothic" w:cs="Arial"/>
          <w:b w:val="0"/>
          <w:bCs/>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zCs w:val="24"/>
        </w:rPr>
        <w:br/>
      </w:r>
      <w:r w:rsidR="00932BB9">
        <w:rPr>
          <w:rFonts w:ascii="Century Gothic" w:hAnsi="Century Gothic" w:cs="Arial"/>
          <w:b w:val="0"/>
          <w:bCs/>
          <w:szCs w:val="24"/>
        </w:rPr>
        <w:t>JANUARY</w:t>
      </w:r>
      <w:r w:rsidR="00757E96">
        <w:rPr>
          <w:rFonts w:ascii="Century Gothic" w:hAnsi="Century Gothic" w:cs="Arial"/>
          <w:b w:val="0"/>
          <w:bCs/>
          <w:szCs w:val="24"/>
        </w:rPr>
        <w:t xml:space="preserve"> </w:t>
      </w:r>
      <w:r>
        <w:rPr>
          <w:rFonts w:ascii="Century Gothic" w:hAnsi="Century Gothic" w:cs="Arial"/>
          <w:b w:val="0"/>
          <w:bCs/>
          <w:szCs w:val="24"/>
        </w:rPr>
        <w:t>18, 2022</w:t>
      </w:r>
    </w:p>
    <w:p w14:paraId="227A88F4" w14:textId="058FE6E1" w:rsidR="0085376F" w:rsidRDefault="008C14C9" w:rsidP="005A1C42">
      <w:pPr>
        <w:pStyle w:val="Heading1"/>
        <w:jc w:val="center"/>
      </w:pPr>
      <w:r>
        <w:t>ADDENDUM to the FINAL EXPRESS TERMS</w:t>
      </w:r>
      <w:r w:rsidR="000F3EF2">
        <w:t xml:space="preserve"> and FINAL STATEMENT OF REASONS</w:t>
      </w:r>
      <w:r w:rsidR="005A1C42">
        <w:br/>
      </w:r>
      <w:r w:rsidR="00C52129">
        <w:rPr>
          <w:rFonts w:cs="Arial"/>
        </w:rPr>
        <w:t>DIVISION OF THE STATE ARCHITECT (DSA-SS AND DSA-SS/CC)</w:t>
      </w:r>
      <w:bookmarkStart w:id="0" w:name="_Hlk51752204"/>
      <w:r w:rsidR="005A1C42">
        <w:br/>
      </w:r>
      <w:r w:rsidR="0085376F" w:rsidRPr="002772D0">
        <w:rPr>
          <w:rFonts w:cs="Arial"/>
          <w:snapToGrid w:val="0"/>
        </w:rPr>
        <w:t xml:space="preserve">2022 CALIFORNIA </w:t>
      </w:r>
      <w:r w:rsidR="000F3EF2">
        <w:rPr>
          <w:rFonts w:cs="Arial"/>
          <w:snapToGrid w:val="0"/>
        </w:rPr>
        <w:t xml:space="preserve">EXISTING </w:t>
      </w:r>
      <w:r w:rsidR="0085376F" w:rsidRPr="002772D0">
        <w:rPr>
          <w:rFonts w:cs="Arial"/>
          <w:snapToGrid w:val="0"/>
        </w:rPr>
        <w:t>BUILDING CODE</w:t>
      </w:r>
      <w:r w:rsidR="0085376F">
        <w:rPr>
          <w:rFonts w:cs="Arial"/>
          <w:snapToGrid w:val="0"/>
        </w:rPr>
        <w:t xml:space="preserve"> (C</w:t>
      </w:r>
      <w:r w:rsidR="000F3EF2">
        <w:rPr>
          <w:rFonts w:cs="Arial"/>
          <w:snapToGrid w:val="0"/>
        </w:rPr>
        <w:t>E</w:t>
      </w:r>
      <w:r w:rsidR="0085376F">
        <w:rPr>
          <w:rFonts w:cs="Arial"/>
          <w:snapToGrid w:val="0"/>
        </w:rPr>
        <w:t>BC)</w:t>
      </w:r>
      <w:r w:rsidR="005A1C42">
        <w:br/>
      </w:r>
      <w:r w:rsidR="0085376F">
        <w:t xml:space="preserve">CALIFORNIA CODE OF REGULATIONS, TITLE 24, PART </w:t>
      </w:r>
      <w:r w:rsidR="000F3EF2">
        <w:t>10</w:t>
      </w:r>
    </w:p>
    <w:p w14:paraId="19948B7F" w14:textId="12C5CCEC" w:rsidR="00817E70" w:rsidRPr="009C439A" w:rsidRDefault="00817E70" w:rsidP="00817E70">
      <w:pPr>
        <w:pStyle w:val="Heading1"/>
        <w:ind w:left="288"/>
        <w:jc w:val="center"/>
        <w:rPr>
          <w:rFonts w:cs="Arial"/>
        </w:rPr>
      </w:pPr>
      <w:r w:rsidRPr="000560B2">
        <w:rPr>
          <w:rFonts w:cs="Arial"/>
        </w:rPr>
        <w:t>(</w:t>
      </w:r>
      <w:r>
        <w:rPr>
          <w:rFonts w:cs="Arial"/>
        </w:rPr>
        <w:t>DSA-SS/CC 0</w:t>
      </w:r>
      <w:r w:rsidR="000F3EF2">
        <w:rPr>
          <w:rFonts w:cs="Arial"/>
        </w:rPr>
        <w:t>6</w:t>
      </w:r>
      <w:r>
        <w:rPr>
          <w:rFonts w:cs="Arial"/>
        </w:rPr>
        <w:t>/21</w:t>
      </w:r>
      <w:r w:rsidRPr="000560B2">
        <w:rPr>
          <w:rFonts w:cs="Arial"/>
        </w:rPr>
        <w:t>)</w:t>
      </w:r>
    </w:p>
    <w:bookmarkEnd w:id="0"/>
    <w:p w14:paraId="36AA66CB" w14:textId="77777777" w:rsidR="00C52129" w:rsidRPr="00AD67B3" w:rsidRDefault="00C52129" w:rsidP="00C52129">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Pr>
          <w:rFonts w:cs="Arial"/>
          <w:szCs w:val="24"/>
        </w:rPr>
        <w:t>highlight,</w:t>
      </w:r>
      <w:r w:rsidRPr="00AD67B3">
        <w:rPr>
          <w:rFonts w:cs="Arial"/>
          <w:szCs w:val="24"/>
        </w:rPr>
        <w:t xml:space="preserve"> italic and ellipsis.</w:t>
      </w:r>
    </w:p>
    <w:p w14:paraId="2A76014D" w14:textId="77777777" w:rsidR="00C52129" w:rsidRPr="00AD67B3" w:rsidRDefault="00C52129" w:rsidP="00C52129">
      <w:pPr>
        <w:pStyle w:val="Heading2"/>
        <w:rPr>
          <w:rFonts w:cs="Arial"/>
        </w:rPr>
      </w:pPr>
      <w:r w:rsidRPr="00AD67B3">
        <w:rPr>
          <w:rFonts w:cs="Arial"/>
        </w:rPr>
        <w:t>LEGEND for EXPRESS TERMS (Based on model codes - Parts 2, 2.5, 3, 4, 5, 9, 10)</w:t>
      </w:r>
    </w:p>
    <w:p w14:paraId="0C1CAB16" w14:textId="77777777" w:rsidR="00C52129" w:rsidRPr="00AD67B3" w:rsidRDefault="00C52129" w:rsidP="00C52129">
      <w:pPr>
        <w:pStyle w:val="ListParagraph"/>
        <w:numPr>
          <w:ilvl w:val="0"/>
          <w:numId w:val="2"/>
        </w:numPr>
        <w:rPr>
          <w:rFonts w:ascii="Arial" w:hAnsi="Arial" w:cs="Arial"/>
        </w:rPr>
      </w:pPr>
      <w:bookmarkStart w:id="1" w:name="_Hlk51751202"/>
      <w:r w:rsidRPr="00AD67B3">
        <w:rPr>
          <w:rFonts w:ascii="Arial" w:hAnsi="Arial" w:cs="Arial"/>
        </w:rPr>
        <w:t>Model Code language appears upright</w:t>
      </w:r>
    </w:p>
    <w:p w14:paraId="42DC22BD"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122D8BE6" w14:textId="77777777" w:rsidR="00C52129" w:rsidRPr="00AD67B3" w:rsidRDefault="00C52129" w:rsidP="00C52129">
      <w:pPr>
        <w:pStyle w:val="ListParagraph"/>
        <w:numPr>
          <w:ilvl w:val="0"/>
          <w:numId w:val="2"/>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785CA4DB"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152D6F81"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0B1B6AC7" w14:textId="77777777" w:rsidR="00C52129" w:rsidRPr="00AD67B3" w:rsidRDefault="00C52129" w:rsidP="00C52129">
      <w:pPr>
        <w:pStyle w:val="ListParagraph"/>
        <w:numPr>
          <w:ilvl w:val="0"/>
          <w:numId w:val="2"/>
        </w:numPr>
        <w:rPr>
          <w:rFonts w:ascii="Arial" w:hAnsi="Arial" w:cs="Arial"/>
        </w:rPr>
      </w:pPr>
      <w:r w:rsidRPr="00AD67B3">
        <w:rPr>
          <w:rFonts w:ascii="Arial" w:hAnsi="Arial" w:cs="Arial"/>
        </w:rPr>
        <w:t xml:space="preserve">Ellipsis </w:t>
      </w:r>
      <w:r w:rsidRPr="00AD67B3">
        <w:rPr>
          <w:rFonts w:ascii="Arial" w:hAnsi="Arial" w:cs="Arial"/>
          <w:szCs w:val="24"/>
        </w:rPr>
        <w:t>(</w:t>
      </w:r>
      <w:r w:rsidRPr="00AD67B3">
        <w:rPr>
          <w:rFonts w:ascii="Arial" w:hAnsi="Arial" w:cs="Arial"/>
          <w:sz w:val="2"/>
          <w:szCs w:val="2"/>
        </w:rPr>
        <w:t xml:space="preserve"> </w:t>
      </w:r>
      <w:r>
        <w:rPr>
          <w:rFonts w:ascii="Arial" w:eastAsia="Times New Roman" w:hAnsi="Arial" w:cs="Arial"/>
          <w:szCs w:val="24"/>
          <w:lang w:eastAsia="ko-KR"/>
        </w:rPr>
        <w:t>…</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35DC0FA3" w14:textId="77777777" w:rsidR="00C52129" w:rsidRPr="002F0FB4" w:rsidRDefault="00C52129" w:rsidP="00C52129">
      <w:pPr>
        <w:pStyle w:val="ListParagraph"/>
        <w:numPr>
          <w:ilvl w:val="0"/>
          <w:numId w:val="2"/>
        </w:numPr>
        <w:pBdr>
          <w:bottom w:val="single" w:sz="4" w:space="10" w:color="auto"/>
        </w:pBdr>
        <w:rPr>
          <w:rFonts w:ascii="Arial" w:hAnsi="Arial" w:cs="Arial"/>
        </w:rPr>
      </w:pPr>
      <w:r w:rsidRPr="002F0FB4">
        <w:rPr>
          <w:rFonts w:ascii="Arial" w:hAnsi="Arial" w:cs="Arial"/>
          <w:szCs w:val="24"/>
        </w:rPr>
        <w:t xml:space="preserve">Instructions:  Text which contains instructions only that are not amendments and will not be printed appears in </w:t>
      </w:r>
      <w:r w:rsidRPr="002F0FB4">
        <w:rPr>
          <w:rFonts w:ascii="Arial" w:hAnsi="Arial" w:cs="Arial"/>
          <w:szCs w:val="24"/>
          <w:highlight w:val="lightGray"/>
        </w:rPr>
        <w:t>upright text with highlight</w:t>
      </w:r>
      <w:r>
        <w:rPr>
          <w:rFonts w:ascii="Arial" w:hAnsi="Arial" w:cs="Arial"/>
          <w:szCs w:val="24"/>
        </w:rPr>
        <w:t>.</w:t>
      </w:r>
      <w:bookmarkEnd w:id="1"/>
    </w:p>
    <w:p w14:paraId="6F3BD2BC" w14:textId="77777777" w:rsidR="00D77A82" w:rsidRDefault="00D77A82" w:rsidP="00EC6FC0"/>
    <w:p w14:paraId="732843C6" w14:textId="1D088E2E" w:rsidR="00F10BEB" w:rsidRPr="00B65F9D" w:rsidRDefault="008E36A2" w:rsidP="00072D60">
      <w:pPr>
        <w:pStyle w:val="Heading1"/>
      </w:pPr>
      <w:r w:rsidRPr="00B65F9D">
        <w:t xml:space="preserve">Correction </w:t>
      </w:r>
      <w:r w:rsidR="00EC6FC0" w:rsidRPr="00B65F9D">
        <w:t>to</w:t>
      </w:r>
      <w:r w:rsidR="005D62B0" w:rsidRPr="00B65F9D">
        <w:t xml:space="preserve"> Final Express Terms</w:t>
      </w:r>
      <w:r w:rsidR="00EA0936" w:rsidRPr="00B65F9D">
        <w:t xml:space="preserve"> and Final Statement of Reasons</w:t>
      </w:r>
      <w:r w:rsidR="005D62B0" w:rsidRPr="00B65F9D">
        <w:t xml:space="preserve"> date</w:t>
      </w:r>
      <w:r w:rsidR="004A30F5" w:rsidRPr="00B65F9D">
        <w:t>d</w:t>
      </w:r>
      <w:r w:rsidR="005D62B0" w:rsidRPr="00B65F9D">
        <w:t xml:space="preserve"> </w:t>
      </w:r>
      <w:r w:rsidR="00EA0936" w:rsidRPr="00B65F9D">
        <w:t>November 10</w:t>
      </w:r>
      <w:r w:rsidR="0025346B" w:rsidRPr="00B65F9D">
        <w:t>, 2021</w:t>
      </w:r>
      <w:r w:rsidR="00291413" w:rsidRPr="00B65F9D">
        <w:t xml:space="preserve">. </w:t>
      </w:r>
    </w:p>
    <w:p w14:paraId="47E0FF30" w14:textId="7227EDEE" w:rsidR="00817E70" w:rsidRDefault="00EA0936" w:rsidP="00EC6FC0">
      <w:r>
        <w:t>This addendum replaces the use of the word “local” jurisdiction with “governing” jurisdiction in order to maintain the intent to restore the original language</w:t>
      </w:r>
      <w:r w:rsidR="009E2C3F">
        <w:t xml:space="preserve"> for </w:t>
      </w:r>
      <w:r w:rsidR="00D5163A">
        <w:t xml:space="preserve">Part 10, </w:t>
      </w:r>
      <w:r w:rsidR="009E2C3F">
        <w:t>Section 319.1 Exception 2</w:t>
      </w:r>
      <w:r>
        <w:t>.</w:t>
      </w:r>
    </w:p>
    <w:p w14:paraId="6CA21B31" w14:textId="1DB304F0" w:rsidR="00B81FDB" w:rsidRPr="00946002" w:rsidRDefault="00B81FDB" w:rsidP="00072D60">
      <w:pPr>
        <w:pStyle w:val="Heading2"/>
      </w:pPr>
      <w:r w:rsidRPr="00946002">
        <w:t>Background:</w:t>
      </w:r>
    </w:p>
    <w:p w14:paraId="471C4B89" w14:textId="62F88D41" w:rsidR="009E2C3F" w:rsidRDefault="009E2C3F" w:rsidP="009E2C3F">
      <w:r>
        <w:rPr>
          <w:rFonts w:cs="Arial"/>
          <w:noProof/>
          <w:szCs w:val="24"/>
        </w:rPr>
        <w:t>The intent of this proposal for Section 319.1 Exception #2 was to</w:t>
      </w:r>
      <w:r w:rsidR="00E761EE">
        <w:rPr>
          <w:rFonts w:cs="Arial"/>
          <w:noProof/>
          <w:szCs w:val="24"/>
        </w:rPr>
        <w:t xml:space="preserve"> provide clarity to the applicability of this exception</w:t>
      </w:r>
      <w:r w:rsidR="00D5163A">
        <w:rPr>
          <w:rFonts w:cs="Arial"/>
          <w:noProof/>
          <w:szCs w:val="24"/>
        </w:rPr>
        <w:t>, to update the applicable code year,</w:t>
      </w:r>
      <w:r w:rsidR="00E761EE">
        <w:rPr>
          <w:rFonts w:cs="Arial"/>
          <w:noProof/>
          <w:szCs w:val="24"/>
        </w:rPr>
        <w:t xml:space="preserve"> and to</w:t>
      </w:r>
      <w:r>
        <w:rPr>
          <w:rFonts w:cs="Arial"/>
          <w:noProof/>
          <w:szCs w:val="24"/>
        </w:rPr>
        <w:t xml:space="preserve"> restore language inadvertantly dropped when DSA’s existing building provisions were </w:t>
      </w:r>
      <w:r w:rsidR="00D5163A">
        <w:rPr>
          <w:rFonts w:cs="Arial"/>
          <w:noProof/>
          <w:szCs w:val="24"/>
        </w:rPr>
        <w:t>transferred</w:t>
      </w:r>
      <w:r>
        <w:rPr>
          <w:rFonts w:cs="Arial"/>
          <w:noProof/>
          <w:szCs w:val="24"/>
        </w:rPr>
        <w:t xml:space="preserve"> fro</w:t>
      </w:r>
      <w:r w:rsidR="00E761EE">
        <w:rPr>
          <w:rFonts w:cs="Arial"/>
          <w:noProof/>
          <w:szCs w:val="24"/>
        </w:rPr>
        <w:t>m</w:t>
      </w:r>
      <w:r>
        <w:rPr>
          <w:rFonts w:cs="Arial"/>
          <w:noProof/>
          <w:szCs w:val="24"/>
        </w:rPr>
        <w:t xml:space="preserve"> Chapter 34 of the CBC to Chapter 3 of the CEBC</w:t>
      </w:r>
      <w:r w:rsidR="00D5163A">
        <w:rPr>
          <w:rFonts w:cs="Arial"/>
          <w:noProof/>
          <w:szCs w:val="24"/>
        </w:rPr>
        <w:t xml:space="preserve"> in a previous rulemaking cycle</w:t>
      </w:r>
      <w:r>
        <w:rPr>
          <w:rFonts w:cs="Arial"/>
          <w:noProof/>
          <w:szCs w:val="24"/>
        </w:rPr>
        <w:t xml:space="preserve">.  </w:t>
      </w:r>
      <w:r w:rsidR="008E2A0A">
        <w:rPr>
          <w:rFonts w:cs="Arial"/>
          <w:noProof/>
          <w:szCs w:val="24"/>
        </w:rPr>
        <w:t xml:space="preserve">However, it was </w:t>
      </w:r>
      <w:r w:rsidR="00445CC2">
        <w:t>discovered</w:t>
      </w:r>
      <w:r w:rsidR="00DB4FFC">
        <w:t xml:space="preserve"> during final internal review </w:t>
      </w:r>
      <w:r w:rsidR="00445CC2">
        <w:t xml:space="preserve">of this rulemaking package </w:t>
      </w:r>
      <w:r w:rsidR="00DB4FFC">
        <w:t xml:space="preserve">that </w:t>
      </w:r>
      <w:r w:rsidR="008E2A0A">
        <w:t xml:space="preserve">DSA’s </w:t>
      </w:r>
      <w:r w:rsidR="000737AB">
        <w:t xml:space="preserve">Initial </w:t>
      </w:r>
      <w:r w:rsidR="00673496">
        <w:t xml:space="preserve">Statement of Reasons, Initial </w:t>
      </w:r>
      <w:r w:rsidR="000737AB">
        <w:t>Express Terms, 45-day Express Terms, and Fi</w:t>
      </w:r>
      <w:r w:rsidR="008126F1">
        <w:t xml:space="preserve">nal </w:t>
      </w:r>
      <w:r w:rsidR="008E2A0A">
        <w:t xml:space="preserve">Express Terms </w:t>
      </w:r>
      <w:r>
        <w:t>utilized the words “local jurisdiction” whereas the original CBC language intended to be restored used the words “governing jurisdiction”. BSC’s Exception #1 to this Section utilizes the words “governing jurisdiction”.</w:t>
      </w:r>
    </w:p>
    <w:p w14:paraId="51AFB623" w14:textId="4D1A4E17" w:rsidR="009E2C3F" w:rsidRDefault="009E2C3F" w:rsidP="00AC2F0D">
      <w:r>
        <w:t>This addendum corrects the erroneous use of the word “local”</w:t>
      </w:r>
      <w:r w:rsidR="00C629BE">
        <w:t xml:space="preserve"> in Express Terms and Initial Statement of Reasons</w:t>
      </w:r>
      <w:r>
        <w:t xml:space="preserve">, replacing it with the word “governing” in order to </w:t>
      </w:r>
      <w:r w:rsidR="00E761EE">
        <w:t>provide the intended</w:t>
      </w:r>
      <w:r>
        <w:t xml:space="preserve"> restoration of the original language and also provide alignment with BSC’s Exception #1 to this section.</w:t>
      </w:r>
    </w:p>
    <w:p w14:paraId="3CDE21E8" w14:textId="77777777" w:rsidR="00285470" w:rsidRPr="00F94C2F" w:rsidRDefault="00285470" w:rsidP="00285470">
      <w:pPr>
        <w:pStyle w:val="Default"/>
      </w:pPr>
      <w:r w:rsidRPr="00F94C2F">
        <w:t>DSA requests the Commission to “Approve as Amended” for this item, in order to satisfy</w:t>
      </w:r>
    </w:p>
    <w:p w14:paraId="30C7865E" w14:textId="77777777" w:rsidR="00285470" w:rsidRDefault="00285470" w:rsidP="00285470">
      <w:pPr>
        <w:pStyle w:val="Default"/>
      </w:pPr>
      <w:r w:rsidRPr="00F94C2F">
        <w:t xml:space="preserve">Health and Safety Code </w:t>
      </w:r>
      <w:r w:rsidRPr="00F94C2F">
        <w:rPr>
          <w:b/>
          <w:bCs/>
        </w:rPr>
        <w:t xml:space="preserve">18930(a)(1) </w:t>
      </w:r>
      <w:r w:rsidRPr="00F94C2F">
        <w:t>The proposed building standards do not conflict with, overlap, or duplicate other building standards</w:t>
      </w:r>
      <w:r>
        <w:t>.</w:t>
      </w:r>
    </w:p>
    <w:p w14:paraId="0A4F3AB7" w14:textId="4237BAE3" w:rsidR="00B3741E" w:rsidRDefault="00B3741E">
      <w:r>
        <w:br w:type="page"/>
      </w:r>
    </w:p>
    <w:p w14:paraId="24C55132" w14:textId="523BB043" w:rsidR="00EA0936" w:rsidRPr="00072D60" w:rsidRDefault="00817E70" w:rsidP="00B65F9D">
      <w:pPr>
        <w:pStyle w:val="Heading2"/>
      </w:pPr>
      <w:r w:rsidRPr="00817E70">
        <w:lastRenderedPageBreak/>
        <w:t>Addendum to F</w:t>
      </w:r>
      <w:r>
        <w:t>ET</w:t>
      </w:r>
      <w:r w:rsidR="00A969AE">
        <w:t>:</w:t>
      </w:r>
      <w:r w:rsidR="00072D60">
        <w:br/>
      </w:r>
      <w:r w:rsidRPr="00817E70">
        <w:t>I</w:t>
      </w:r>
      <w:r w:rsidR="00B65F9D">
        <w:t>tem</w:t>
      </w:r>
      <w:r w:rsidRPr="00817E70">
        <w:t xml:space="preserve"> </w:t>
      </w:r>
      <w:r w:rsidR="00EA0936">
        <w:t>3</w:t>
      </w:r>
      <w:r w:rsidR="00B65F9D">
        <w:rPr>
          <w:rFonts w:cs="Arial"/>
          <w:bCs/>
          <w:szCs w:val="24"/>
        </w:rPr>
        <w:br/>
      </w:r>
      <w:r w:rsidR="00EA0936" w:rsidRPr="00EA0936">
        <w:rPr>
          <w:rFonts w:cs="Arial"/>
          <w:bCs/>
          <w:szCs w:val="24"/>
        </w:rPr>
        <w:t xml:space="preserve">Chapter </w:t>
      </w:r>
      <w:r w:rsidR="00EA0936" w:rsidRPr="00EA0936">
        <w:rPr>
          <w:rFonts w:cs="Arial"/>
          <w:szCs w:val="24"/>
        </w:rPr>
        <w:t>3 PROVISIONS FOR ALL COMPLIANCE METHODS</w:t>
      </w:r>
      <w:r w:rsidR="00EA0936" w:rsidRPr="00EA0936">
        <w:rPr>
          <w:rFonts w:cs="Arial"/>
          <w:bCs/>
          <w:szCs w:val="24"/>
        </w:rPr>
        <w:t xml:space="preserve"> </w:t>
      </w:r>
    </w:p>
    <w:p w14:paraId="5B1D419F" w14:textId="6B291844" w:rsidR="00C629BE" w:rsidRDefault="00C629BE" w:rsidP="00B65F9D">
      <w:pPr>
        <w:spacing w:before="120" w:after="0"/>
        <w:rPr>
          <w:rFonts w:cs="Arial"/>
          <w:b/>
          <w:bCs/>
          <w:szCs w:val="24"/>
        </w:rPr>
      </w:pPr>
      <w:r w:rsidRPr="00E036EF">
        <w:rPr>
          <w:rFonts w:cs="Arial"/>
          <w:b/>
          <w:bCs/>
          <w:szCs w:val="24"/>
        </w:rPr>
        <w:t xml:space="preserve">Reflecting the proposed </w:t>
      </w:r>
      <w:r>
        <w:rPr>
          <w:rFonts w:cs="Arial"/>
          <w:b/>
          <w:bCs/>
          <w:szCs w:val="24"/>
        </w:rPr>
        <w:t>language</w:t>
      </w:r>
      <w:r w:rsidRPr="00E036EF">
        <w:rPr>
          <w:rFonts w:cs="Arial"/>
          <w:b/>
          <w:bCs/>
          <w:szCs w:val="24"/>
        </w:rPr>
        <w:t xml:space="preserve"> </w:t>
      </w:r>
      <w:r w:rsidRPr="004339ED">
        <w:rPr>
          <w:rFonts w:cs="Arial"/>
          <w:b/>
          <w:bCs/>
          <w:szCs w:val="24"/>
        </w:rPr>
        <w:t>for the Final Express Terms</w:t>
      </w:r>
      <w:r>
        <w:rPr>
          <w:rFonts w:cs="Arial"/>
          <w:b/>
          <w:bCs/>
          <w:szCs w:val="24"/>
        </w:rPr>
        <w:t xml:space="preserve"> as corrected by this addendum. </w:t>
      </w:r>
      <w:r w:rsidRPr="006A4CB6">
        <w:rPr>
          <w:rFonts w:cs="Arial"/>
          <w:b/>
          <w:bCs/>
          <w:szCs w:val="24"/>
        </w:rPr>
        <w:t xml:space="preserve">The addendum </w:t>
      </w:r>
      <w:r w:rsidRPr="00C629BE">
        <w:rPr>
          <w:rFonts w:cs="Arial"/>
          <w:b/>
          <w:bCs/>
          <w:szCs w:val="24"/>
        </w:rPr>
        <w:t>replaces the word “local” jurisdiction with “governing” jurisdiction</w:t>
      </w:r>
      <w:r w:rsidRPr="006A4CB6">
        <w:rPr>
          <w:rFonts w:cs="Arial"/>
          <w:b/>
          <w:bCs/>
          <w:szCs w:val="24"/>
        </w:rPr>
        <w:t>.</w:t>
      </w:r>
    </w:p>
    <w:p w14:paraId="228943EB" w14:textId="5CB19C48" w:rsidR="00445CC2" w:rsidRPr="00817E70" w:rsidRDefault="00445CC2" w:rsidP="00445CC2">
      <w:pPr>
        <w:spacing w:after="120"/>
        <w:rPr>
          <w:rFonts w:cs="Arial"/>
          <w:b/>
          <w:bCs/>
          <w:noProof/>
        </w:rPr>
      </w:pPr>
      <w:r w:rsidRPr="00817E70">
        <w:rPr>
          <w:rFonts w:cs="Arial"/>
          <w:b/>
          <w:bCs/>
          <w:noProof/>
        </w:rPr>
        <w:t>…</w:t>
      </w:r>
    </w:p>
    <w:p w14:paraId="1EE38DC1" w14:textId="77777777" w:rsidR="00EA0936" w:rsidRPr="0013560F" w:rsidRDefault="00EA0936" w:rsidP="00EA0936">
      <w:pPr>
        <w:spacing w:after="120"/>
        <w:rPr>
          <w:rFonts w:cs="Arial"/>
          <w:i/>
          <w:iCs/>
          <w:noProof/>
        </w:rPr>
      </w:pPr>
      <w:r w:rsidRPr="0013560F">
        <w:rPr>
          <w:rFonts w:cs="Arial"/>
          <w:b/>
          <w:bCs/>
          <w:i/>
          <w:iCs/>
          <w:noProof/>
        </w:rPr>
        <w:t>319.1 Basis for evaluation and design.</w:t>
      </w:r>
      <w:r w:rsidRPr="0013560F">
        <w:rPr>
          <w:rFonts w:cs="Arial"/>
          <w:i/>
          <w:iCs/>
          <w:noProof/>
        </w:rPr>
        <w:t xml:space="preserve"> This section</w:t>
      </w:r>
      <w:r>
        <w:rPr>
          <w:rFonts w:cs="Arial"/>
          <w:i/>
          <w:iCs/>
          <w:noProof/>
        </w:rPr>
        <w:t>…</w:t>
      </w:r>
    </w:p>
    <w:p w14:paraId="1AC1D8D1" w14:textId="77777777" w:rsidR="00EA0936" w:rsidRPr="0013560F" w:rsidRDefault="00EA0936" w:rsidP="00EA0936">
      <w:pPr>
        <w:spacing w:after="120"/>
        <w:rPr>
          <w:rFonts w:cs="Arial"/>
          <w:i/>
          <w:iCs/>
          <w:noProof/>
        </w:rPr>
      </w:pPr>
      <w:r w:rsidRPr="0013560F">
        <w:rPr>
          <w:rFonts w:cs="Arial"/>
          <w:i/>
          <w:iCs/>
          <w:noProof/>
        </w:rPr>
        <w:t>One of</w:t>
      </w:r>
      <w:r>
        <w:rPr>
          <w:rFonts w:cs="Arial"/>
          <w:i/>
          <w:iCs/>
          <w:noProof/>
        </w:rPr>
        <w:t>…</w:t>
      </w:r>
    </w:p>
    <w:p w14:paraId="19A78A24" w14:textId="77777777" w:rsidR="00EA0936" w:rsidRPr="0013560F" w:rsidRDefault="00EA0936" w:rsidP="00EA0936">
      <w:pPr>
        <w:spacing w:after="120"/>
        <w:rPr>
          <w:rFonts w:cs="Arial"/>
          <w:i/>
          <w:iCs/>
          <w:noProof/>
        </w:rPr>
      </w:pPr>
      <w:r w:rsidRPr="0013560F">
        <w:rPr>
          <w:rFonts w:cs="Arial"/>
          <w:i/>
          <w:iCs/>
          <w:noProof/>
        </w:rPr>
        <w:t>When Method B</w:t>
      </w:r>
      <w:r>
        <w:rPr>
          <w:rFonts w:cs="Arial"/>
          <w:i/>
          <w:iCs/>
          <w:noProof/>
        </w:rPr>
        <w:t>…</w:t>
      </w:r>
    </w:p>
    <w:p w14:paraId="4B6B541B" w14:textId="77777777" w:rsidR="00EA0936" w:rsidRPr="0013560F" w:rsidRDefault="00EA0936" w:rsidP="00EA0936">
      <w:pPr>
        <w:spacing w:after="120"/>
        <w:ind w:left="360"/>
        <w:rPr>
          <w:rFonts w:cs="Arial"/>
          <w:b/>
          <w:bCs/>
          <w:i/>
          <w:iCs/>
          <w:noProof/>
        </w:rPr>
      </w:pPr>
      <w:r w:rsidRPr="0013560F">
        <w:rPr>
          <w:rFonts w:cs="Arial"/>
          <w:b/>
          <w:bCs/>
          <w:i/>
          <w:iCs/>
          <w:noProof/>
        </w:rPr>
        <w:t>Exceptions:</w:t>
      </w:r>
    </w:p>
    <w:p w14:paraId="6F865F28" w14:textId="77777777" w:rsidR="00EA0936" w:rsidRPr="00C0587B" w:rsidRDefault="00EA0936" w:rsidP="00EA0936">
      <w:pPr>
        <w:pStyle w:val="ListParagraph"/>
        <w:numPr>
          <w:ilvl w:val="0"/>
          <w:numId w:val="3"/>
        </w:numPr>
        <w:spacing w:after="120"/>
        <w:rPr>
          <w:rFonts w:ascii="Arial" w:hAnsi="Arial" w:cs="Arial"/>
          <w:noProof/>
        </w:rPr>
      </w:pPr>
      <w:r w:rsidRPr="00C0587B">
        <w:rPr>
          <w:rFonts w:ascii="Arial" w:hAnsi="Arial" w:cs="Arial"/>
          <w:noProof/>
        </w:rPr>
        <w:t>…</w:t>
      </w:r>
    </w:p>
    <w:p w14:paraId="10FD6916" w14:textId="17EDACB5" w:rsidR="00EA0936" w:rsidRPr="0013560F" w:rsidRDefault="00EA0936" w:rsidP="003935E3">
      <w:pPr>
        <w:pStyle w:val="ListParagraph"/>
        <w:numPr>
          <w:ilvl w:val="0"/>
          <w:numId w:val="3"/>
        </w:numPr>
        <w:rPr>
          <w:rFonts w:ascii="Arial" w:hAnsi="Arial" w:cs="Arial"/>
          <w:i/>
          <w:iCs/>
          <w:noProof/>
        </w:rPr>
      </w:pPr>
      <w:r w:rsidRPr="00913D01">
        <w:rPr>
          <w:rFonts w:ascii="Arial" w:hAnsi="Arial" w:cs="Arial"/>
          <w:b/>
          <w:bCs/>
          <w:i/>
          <w:iCs/>
          <w:noProof/>
        </w:rPr>
        <w:t>[DSA-SS &amp; DSA-SS/CC]</w:t>
      </w:r>
      <w:r w:rsidRPr="00E56566">
        <w:rPr>
          <w:rFonts w:ascii="Arial" w:hAnsi="Arial" w:cs="Arial"/>
          <w:i/>
          <w:iCs/>
          <w:noProof/>
        </w:rPr>
        <w:t xml:space="preserve"> For </w:t>
      </w:r>
      <w:r w:rsidRPr="00E56566">
        <w:rPr>
          <w:rFonts w:ascii="Arial" w:hAnsi="Arial" w:cs="Arial"/>
          <w:i/>
          <w:iCs/>
          <w:strike/>
          <w:noProof/>
        </w:rPr>
        <w:t xml:space="preserve">public schools and community colleges </w:t>
      </w:r>
      <w:r w:rsidRPr="001B7E6C">
        <w:rPr>
          <w:rFonts w:ascii="Arial" w:hAnsi="Arial" w:cs="Arial"/>
          <w:i/>
          <w:iCs/>
          <w:snapToGrid/>
          <w:szCs w:val="16"/>
          <w:u w:val="single"/>
        </w:rPr>
        <w:t>the conversion of nonconforming buildings to conforming school buildings in accordance with Section 4-307 of the California Administrative Code, non</w:t>
      </w:r>
      <w:r>
        <w:rPr>
          <w:rFonts w:ascii="Arial" w:hAnsi="Arial" w:cs="Arial"/>
          <w:i/>
          <w:iCs/>
          <w:snapToGrid/>
          <w:szCs w:val="16"/>
          <w:u w:val="single"/>
        </w:rPr>
        <w:t>conforming</w:t>
      </w:r>
      <w:r w:rsidRPr="001B7E6C">
        <w:rPr>
          <w:rFonts w:ascii="Arial" w:hAnsi="Arial" w:cs="Arial"/>
          <w:i/>
          <w:iCs/>
          <w:snapToGrid/>
          <w:szCs w:val="16"/>
          <w:u w:val="single"/>
        </w:rPr>
        <w:t xml:space="preserve"> buildings</w:t>
      </w:r>
      <w:r w:rsidRPr="00E56566">
        <w:rPr>
          <w:rFonts w:ascii="Arial" w:hAnsi="Arial" w:cs="Arial"/>
          <w:i/>
          <w:iCs/>
          <w:noProof/>
        </w:rPr>
        <w:t xml:space="preserve"> </w:t>
      </w:r>
      <w:r w:rsidRPr="0013560F">
        <w:rPr>
          <w:rFonts w:ascii="Arial" w:hAnsi="Arial" w:cs="Arial"/>
          <w:i/>
          <w:iCs/>
          <w:noProof/>
        </w:rPr>
        <w:t xml:space="preserve">constructed to the requirements of California Building Code, </w:t>
      </w:r>
      <w:r w:rsidRPr="00CC6D1C">
        <w:rPr>
          <w:rFonts w:ascii="Arial" w:hAnsi="Arial" w:cs="Arial"/>
          <w:i/>
          <w:iCs/>
          <w:strike/>
          <w:noProof/>
        </w:rPr>
        <w:t xml:space="preserve">2013 </w:t>
      </w:r>
      <w:r w:rsidRPr="00CC6D1C">
        <w:rPr>
          <w:rFonts w:ascii="Arial" w:hAnsi="Arial" w:cs="Arial"/>
          <w:i/>
          <w:iCs/>
          <w:noProof/>
          <w:u w:val="single"/>
        </w:rPr>
        <w:t>2016</w:t>
      </w:r>
      <w:r w:rsidRPr="0013560F">
        <w:rPr>
          <w:rFonts w:ascii="Arial" w:hAnsi="Arial" w:cs="Arial"/>
          <w:i/>
          <w:iCs/>
          <w:noProof/>
        </w:rPr>
        <w:t xml:space="preserve"> or later edition, that code</w:t>
      </w:r>
      <w:r>
        <w:rPr>
          <w:rFonts w:ascii="Arial" w:hAnsi="Arial" w:cs="Arial"/>
          <w:i/>
          <w:iCs/>
          <w:noProof/>
        </w:rPr>
        <w:t xml:space="preserve"> </w:t>
      </w:r>
      <w:r w:rsidRPr="00B777A7">
        <w:rPr>
          <w:rFonts w:ascii="Arial" w:hAnsi="Arial" w:cs="Arial"/>
          <w:i/>
          <w:iCs/>
          <w:noProof/>
          <w:u w:val="single"/>
        </w:rPr>
        <w:t xml:space="preserve">as it was adopted by the </w:t>
      </w:r>
      <w:r>
        <w:rPr>
          <w:rFonts w:ascii="Arial" w:hAnsi="Arial" w:cs="Arial"/>
          <w:i/>
          <w:iCs/>
          <w:noProof/>
          <w:u w:val="single"/>
        </w:rPr>
        <w:t>governing</w:t>
      </w:r>
      <w:r w:rsidRPr="00B777A7">
        <w:rPr>
          <w:rFonts w:ascii="Arial" w:hAnsi="Arial" w:cs="Arial"/>
          <w:i/>
          <w:iCs/>
          <w:noProof/>
          <w:u w:val="single"/>
        </w:rPr>
        <w:t xml:space="preserve"> jurisdiction</w:t>
      </w:r>
      <w:r w:rsidRPr="0013560F">
        <w:rPr>
          <w:rFonts w:ascii="Arial" w:hAnsi="Arial" w:cs="Arial"/>
          <w:i/>
          <w:iCs/>
          <w:noProof/>
        </w:rPr>
        <w:t xml:space="preserve"> is permitted to be used in place of those specified in Section 319.1 provided the building complies with Seismic Design Category D or higher.</w:t>
      </w:r>
    </w:p>
    <w:p w14:paraId="4C48BBF1" w14:textId="7D4215D8" w:rsidR="00FD002B" w:rsidRDefault="00FD002B" w:rsidP="00FD002B">
      <w:pPr>
        <w:spacing w:after="120"/>
        <w:rPr>
          <w:rFonts w:cs="Arial"/>
          <w:b/>
          <w:bCs/>
          <w:noProof/>
        </w:rPr>
      </w:pPr>
      <w:r w:rsidRPr="00FD002B">
        <w:rPr>
          <w:rFonts w:cs="Arial"/>
          <w:b/>
          <w:bCs/>
          <w:noProof/>
        </w:rPr>
        <w:t>…</w:t>
      </w:r>
    </w:p>
    <w:p w14:paraId="1133144C" w14:textId="4BECA4A8" w:rsidR="00EA0936" w:rsidRPr="00072D60" w:rsidRDefault="00EA0936" w:rsidP="00072D60">
      <w:pPr>
        <w:pStyle w:val="Heading2"/>
      </w:pPr>
      <w:r w:rsidRPr="00817E70">
        <w:t>Addendum to F</w:t>
      </w:r>
      <w:r>
        <w:t>SOR</w:t>
      </w:r>
      <w:r w:rsidR="00B65F9D">
        <w:br/>
      </w:r>
      <w:r w:rsidR="00481200" w:rsidRPr="00811715">
        <w:t>UPDATES TO THE INITIAL STATEMENT OF REASONS:</w:t>
      </w:r>
      <w:r w:rsidR="00072D60">
        <w:br/>
      </w:r>
      <w:r w:rsidR="001F2E95">
        <w:rPr>
          <w:rFonts w:cs="Arial"/>
          <w:noProof/>
        </w:rPr>
        <w:t xml:space="preserve">Item </w:t>
      </w:r>
      <w:r>
        <w:rPr>
          <w:rFonts w:cs="Arial"/>
          <w:noProof/>
        </w:rPr>
        <w:t>3</w:t>
      </w:r>
      <w:r w:rsidRPr="000560B2">
        <w:rPr>
          <w:rFonts w:cs="Arial"/>
          <w:noProof/>
        </w:rPr>
        <w:br/>
      </w:r>
      <w:bookmarkStart w:id="2" w:name="_Hlk91499333"/>
      <w:r w:rsidRPr="000560B2">
        <w:rPr>
          <w:rFonts w:cs="Arial"/>
          <w:bCs/>
        </w:rPr>
        <w:t xml:space="preserve">Chapter </w:t>
      </w:r>
      <w:r>
        <w:rPr>
          <w:rFonts w:cs="Arial"/>
          <w:noProof/>
        </w:rPr>
        <w:t>3 PROVISIONS FOR ALL COMPLIANCE METHODS</w:t>
      </w:r>
      <w:bookmarkEnd w:id="2"/>
      <w:r>
        <w:rPr>
          <w:rFonts w:cs="Arial"/>
          <w:noProof/>
        </w:rPr>
        <w:t xml:space="preserve"> </w:t>
      </w:r>
      <w:r w:rsidRPr="001B3804">
        <w:rPr>
          <w:rFonts w:cs="Arial"/>
          <w:bCs/>
          <w:szCs w:val="24"/>
        </w:rPr>
        <w:t>Section 319.1</w:t>
      </w:r>
      <w:r>
        <w:rPr>
          <w:rFonts w:cs="Arial"/>
          <w:szCs w:val="24"/>
        </w:rPr>
        <w:t xml:space="preserve"> </w:t>
      </w:r>
    </w:p>
    <w:p w14:paraId="14EAAC6D" w14:textId="77A1EDF7" w:rsidR="00B65F9D" w:rsidRPr="00B65F9D" w:rsidRDefault="00B65F9D" w:rsidP="00B65F9D">
      <w:pPr>
        <w:spacing w:after="120"/>
        <w:rPr>
          <w:rFonts w:cs="Arial"/>
          <w:b/>
          <w:bCs/>
          <w:szCs w:val="24"/>
        </w:rPr>
      </w:pPr>
      <w:r w:rsidRPr="00E036EF">
        <w:rPr>
          <w:rFonts w:cs="Arial"/>
          <w:b/>
          <w:bCs/>
          <w:szCs w:val="24"/>
        </w:rPr>
        <w:t xml:space="preserve">Reflecting the </w:t>
      </w:r>
      <w:r>
        <w:rPr>
          <w:rFonts w:cs="Arial"/>
          <w:b/>
          <w:bCs/>
          <w:szCs w:val="24"/>
        </w:rPr>
        <w:t>ISOR</w:t>
      </w:r>
      <w:r w:rsidRPr="00E036EF">
        <w:rPr>
          <w:rFonts w:cs="Arial"/>
          <w:b/>
          <w:bCs/>
          <w:szCs w:val="24"/>
        </w:rPr>
        <w:t xml:space="preserve"> </w:t>
      </w:r>
      <w:r>
        <w:rPr>
          <w:rFonts w:cs="Arial"/>
          <w:b/>
          <w:bCs/>
          <w:szCs w:val="24"/>
        </w:rPr>
        <w:t>language</w:t>
      </w:r>
      <w:r w:rsidRPr="00E036EF">
        <w:rPr>
          <w:rFonts w:cs="Arial"/>
          <w:b/>
          <w:bCs/>
          <w:szCs w:val="24"/>
        </w:rPr>
        <w:t xml:space="preserve"> </w:t>
      </w:r>
      <w:r>
        <w:rPr>
          <w:rFonts w:cs="Arial"/>
          <w:b/>
          <w:bCs/>
          <w:szCs w:val="24"/>
        </w:rPr>
        <w:t xml:space="preserve">as corrected by this addendum. </w:t>
      </w:r>
      <w:r w:rsidRPr="006A4CB6">
        <w:rPr>
          <w:rFonts w:cs="Arial"/>
          <w:b/>
          <w:bCs/>
          <w:szCs w:val="24"/>
        </w:rPr>
        <w:t xml:space="preserve">The addendum </w:t>
      </w:r>
      <w:r w:rsidRPr="00C629BE">
        <w:rPr>
          <w:rFonts w:cs="Arial"/>
          <w:b/>
          <w:bCs/>
          <w:szCs w:val="24"/>
        </w:rPr>
        <w:t>replaces the word “local” jurisdiction with “governing” jurisdiction</w:t>
      </w:r>
      <w:r w:rsidRPr="006A4CB6">
        <w:rPr>
          <w:rFonts w:cs="Arial"/>
          <w:b/>
          <w:bCs/>
          <w:szCs w:val="24"/>
        </w:rPr>
        <w:t>.</w:t>
      </w:r>
    </w:p>
    <w:p w14:paraId="4A6C62FB" w14:textId="6F9E52B1" w:rsidR="00EA0936" w:rsidRPr="001F2E95" w:rsidRDefault="00EA0936" w:rsidP="001F2E95">
      <w:pPr>
        <w:spacing w:after="120"/>
        <w:rPr>
          <w:rFonts w:cs="Arial"/>
          <w:szCs w:val="24"/>
        </w:rPr>
      </w:pPr>
      <w:r w:rsidRPr="001F2E95">
        <w:rPr>
          <w:rFonts w:cs="Arial"/>
          <w:szCs w:val="24"/>
        </w:rPr>
        <w:t>Exception 2 revised to restore original intent and update for compatibility with current Code Adoption Cycle.</w:t>
      </w:r>
    </w:p>
    <w:p w14:paraId="3B1E10E0" w14:textId="77777777" w:rsidR="00EA0936" w:rsidRPr="00D11F28" w:rsidRDefault="00EA0936" w:rsidP="00EA0936">
      <w:pPr>
        <w:spacing w:after="120"/>
        <w:rPr>
          <w:rFonts w:cs="Arial"/>
          <w:szCs w:val="24"/>
        </w:rPr>
      </w:pPr>
      <w:r w:rsidRPr="00D11F28">
        <w:rPr>
          <w:rFonts w:cs="Arial"/>
          <w:szCs w:val="24"/>
        </w:rPr>
        <w:t>Purpose:</w:t>
      </w:r>
      <w:r>
        <w:rPr>
          <w:rFonts w:cs="Arial"/>
          <w:szCs w:val="24"/>
        </w:rPr>
        <w:t xml:space="preserve"> Restore and maintain regulatory intent.</w:t>
      </w:r>
    </w:p>
    <w:p w14:paraId="0B7A251D" w14:textId="7158EDCE" w:rsidR="00EA0936" w:rsidRPr="00095390" w:rsidRDefault="00EA0936" w:rsidP="00EA0936">
      <w:pPr>
        <w:spacing w:after="120"/>
        <w:rPr>
          <w:rFonts w:cs="Arial"/>
          <w:szCs w:val="24"/>
        </w:rPr>
      </w:pPr>
      <w:r w:rsidRPr="00095390">
        <w:rPr>
          <w:rFonts w:cs="Arial"/>
          <w:szCs w:val="24"/>
        </w:rPr>
        <w:t xml:space="preserve">Problem: </w:t>
      </w:r>
      <w:r>
        <w:rPr>
          <w:rFonts w:cs="Arial"/>
          <w:szCs w:val="24"/>
        </w:rPr>
        <w:t>As originally authored, Exception #2 was intended to apply to the conversion of a nonconforming building to use as a school building in accordance with Section 4-307 of the California Administrative Code (Part 1). It was not intended to apply to the rehabilitation of an existing school building when required by Section 4-309(c) of Part 1. The language of this exception originated in Chapter 34 of the California Building Code where it included the phrase “as it was adopted by the governing jurisdiction”. This phrase was unfortunately dropped when the regulation was migrated to the CEBC. The removal of this phrase has resulted in confusion for some users.</w:t>
      </w:r>
    </w:p>
    <w:p w14:paraId="67EE84CD" w14:textId="7BA7F63D" w:rsidR="00EA0936" w:rsidRPr="008B346A" w:rsidRDefault="00EA0936" w:rsidP="00EA0936">
      <w:pPr>
        <w:spacing w:after="120"/>
        <w:rPr>
          <w:rFonts w:cs="Arial"/>
          <w:szCs w:val="24"/>
        </w:rPr>
      </w:pPr>
      <w:r w:rsidRPr="008B346A">
        <w:rPr>
          <w:rFonts w:cs="Arial"/>
          <w:szCs w:val="24"/>
        </w:rPr>
        <w:t>Rationale:</w:t>
      </w:r>
      <w:r>
        <w:rPr>
          <w:rFonts w:cs="Arial"/>
          <w:szCs w:val="24"/>
        </w:rPr>
        <w:t xml:space="preserve"> To restore the original intent, a specific reference to Section 4-307 of Part 1 is added to define the applicability of the exception. The phase “as it was adopted by the governing jurisdiction” is restored</w:t>
      </w:r>
      <w:r w:rsidR="003935E3">
        <w:rPr>
          <w:rFonts w:cs="Arial"/>
          <w:szCs w:val="24"/>
        </w:rPr>
        <w:t>.</w:t>
      </w:r>
    </w:p>
    <w:p w14:paraId="01E3CC46" w14:textId="505D2107" w:rsidR="00EA0936" w:rsidRPr="00AA5252" w:rsidRDefault="00EA0936" w:rsidP="00AA5252">
      <w:pPr>
        <w:spacing w:after="120"/>
        <w:rPr>
          <w:rFonts w:cs="Arial"/>
          <w:szCs w:val="18"/>
        </w:rPr>
      </w:pPr>
      <w:r w:rsidRPr="00C234D6">
        <w:rPr>
          <w:rFonts w:cs="Arial"/>
          <w:szCs w:val="24"/>
        </w:rPr>
        <w:t>Benefit:</w:t>
      </w:r>
      <w:r>
        <w:rPr>
          <w:rFonts w:cs="Arial"/>
          <w:szCs w:val="24"/>
        </w:rPr>
        <w:t xml:space="preserve"> </w:t>
      </w:r>
      <w:r w:rsidRPr="00C234D6">
        <w:rPr>
          <w:rFonts w:cs="Arial"/>
          <w:szCs w:val="24"/>
        </w:rPr>
        <w:t>Improved clarity and reduced misunderstanding by stakeholders</w:t>
      </w:r>
      <w:r>
        <w:rPr>
          <w:rFonts w:cs="Arial"/>
          <w:szCs w:val="24"/>
        </w:rPr>
        <w:t>, which has been found to occur as explained above.</w:t>
      </w:r>
    </w:p>
    <w:sectPr w:rsidR="00EA0936" w:rsidRPr="00AA5252" w:rsidSect="00AA5252">
      <w:footerReference w:type="default" r:id="rId7"/>
      <w:pgSz w:w="12240" w:h="15840"/>
      <w:pgMar w:top="720" w:right="1267" w:bottom="72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9C9B" w14:textId="77777777" w:rsidR="00D0629B" w:rsidRDefault="00D0629B" w:rsidP="002F4F35">
      <w:pPr>
        <w:spacing w:after="0" w:line="240" w:lineRule="auto"/>
      </w:pPr>
      <w:r>
        <w:separator/>
      </w:r>
    </w:p>
  </w:endnote>
  <w:endnote w:type="continuationSeparator" w:id="0">
    <w:p w14:paraId="402B458C" w14:textId="77777777" w:rsidR="00D0629B" w:rsidRDefault="00D0629B" w:rsidP="002F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2443" w14:textId="1DFC2782" w:rsidR="002F4F35" w:rsidRPr="00DE2334" w:rsidRDefault="00445CC2">
    <w:pPr>
      <w:pStyle w:val="Footer"/>
      <w:rPr>
        <w:rFonts w:eastAsia="Times New Roman" w:cs="Times New Roman"/>
        <w:sz w:val="16"/>
        <w:szCs w:val="16"/>
      </w:rPr>
    </w:pPr>
    <w:r w:rsidRPr="00DE2334">
      <w:rPr>
        <w:rFonts w:eastAsia="Times New Roman" w:cs="Times New Roman"/>
        <w:sz w:val="16"/>
        <w:szCs w:val="16"/>
      </w:rPr>
      <w:t>DSA-SS/CC</w:t>
    </w:r>
    <w:r w:rsidR="002F4F35" w:rsidRPr="00DE2334">
      <w:rPr>
        <w:rFonts w:eastAsia="Times New Roman" w:cs="Times New Roman"/>
        <w:sz w:val="16"/>
        <w:szCs w:val="16"/>
      </w:rPr>
      <w:t>-0</w:t>
    </w:r>
    <w:r w:rsidRPr="00DE2334">
      <w:rPr>
        <w:rFonts w:eastAsia="Times New Roman" w:cs="Times New Roman"/>
        <w:sz w:val="16"/>
        <w:szCs w:val="16"/>
      </w:rPr>
      <w:t>6</w:t>
    </w:r>
    <w:r w:rsidR="002F4F35" w:rsidRPr="00DE2334">
      <w:rPr>
        <w:rFonts w:eastAsia="Times New Roman" w:cs="Times New Roman"/>
        <w:sz w:val="16"/>
        <w:szCs w:val="16"/>
      </w:rPr>
      <w:t>-21-FET-Add#1</w:t>
    </w:r>
    <w:r w:rsidR="00817E70" w:rsidRPr="00817E70">
      <w:rPr>
        <w:rFonts w:eastAsia="Times New Roman" w:cs="Times New Roman"/>
        <w:sz w:val="16"/>
        <w:szCs w:val="16"/>
      </w:rPr>
      <w:t xml:space="preserve"> </w:t>
    </w:r>
    <w:r w:rsidR="00817E70">
      <w:rPr>
        <w:rFonts w:eastAsia="Times New Roman" w:cs="Times New Roman"/>
        <w:sz w:val="16"/>
        <w:szCs w:val="16"/>
      </w:rPr>
      <w:tab/>
    </w:r>
    <w:r w:rsidR="00DE2334">
      <w:rPr>
        <w:rFonts w:eastAsia="Times New Roman" w:cs="Times New Roman"/>
        <w:sz w:val="16"/>
        <w:szCs w:val="16"/>
      </w:rPr>
      <w:tab/>
      <w:t>December 2</w:t>
    </w:r>
    <w:r w:rsidR="00673496">
      <w:rPr>
        <w:rFonts w:eastAsia="Times New Roman" w:cs="Times New Roman"/>
        <w:sz w:val="16"/>
        <w:szCs w:val="16"/>
      </w:rPr>
      <w:t>9</w:t>
    </w:r>
    <w:r w:rsidR="00DE2334">
      <w:rPr>
        <w:rFonts w:eastAsia="Times New Roman" w:cs="Times New Roman"/>
        <w:sz w:val="16"/>
        <w:szCs w:val="16"/>
      </w:rPr>
      <w:t>, 2021</w:t>
    </w:r>
    <w:r w:rsidR="00817E70">
      <w:rPr>
        <w:rFonts w:eastAsia="Times New Roman" w:cs="Times New Roman"/>
        <w:sz w:val="16"/>
        <w:szCs w:val="16"/>
      </w:rPr>
      <w:tab/>
    </w:r>
    <w:r w:rsidR="00817E70" w:rsidRPr="00DE2334">
      <w:rPr>
        <w:rFonts w:eastAsia="Times New Roman" w:cs="Times New Roman"/>
        <w:sz w:val="16"/>
        <w:szCs w:val="16"/>
      </w:rPr>
      <w:t xml:space="preserve">Page </w:t>
    </w:r>
    <w:r w:rsidR="00817E70" w:rsidRPr="00DE2334">
      <w:rPr>
        <w:rFonts w:eastAsia="Times New Roman" w:cs="Times New Roman"/>
        <w:sz w:val="16"/>
        <w:szCs w:val="16"/>
      </w:rPr>
      <w:fldChar w:fldCharType="begin"/>
    </w:r>
    <w:r w:rsidR="00817E70" w:rsidRPr="00DE2334">
      <w:rPr>
        <w:rFonts w:eastAsia="Times New Roman" w:cs="Times New Roman"/>
        <w:sz w:val="16"/>
        <w:szCs w:val="16"/>
      </w:rPr>
      <w:instrText xml:space="preserve"> PAGE </w:instrText>
    </w:r>
    <w:r w:rsidR="00817E70" w:rsidRPr="00DE2334">
      <w:rPr>
        <w:rFonts w:eastAsia="Times New Roman" w:cs="Times New Roman"/>
        <w:sz w:val="16"/>
        <w:szCs w:val="16"/>
      </w:rPr>
      <w:fldChar w:fldCharType="separate"/>
    </w:r>
    <w:r w:rsidR="00817E70" w:rsidRPr="00DE2334">
      <w:rPr>
        <w:rFonts w:eastAsia="Times New Roman" w:cs="Times New Roman"/>
        <w:sz w:val="16"/>
        <w:szCs w:val="16"/>
      </w:rPr>
      <w:t>1</w:t>
    </w:r>
    <w:r w:rsidR="00817E70" w:rsidRPr="00DE2334">
      <w:rPr>
        <w:rFonts w:eastAsia="Times New Roman" w:cs="Times New Roman"/>
        <w:sz w:val="16"/>
        <w:szCs w:val="16"/>
      </w:rPr>
      <w:fldChar w:fldCharType="end"/>
    </w:r>
    <w:r w:rsidR="00817E70" w:rsidRPr="00DE2334">
      <w:rPr>
        <w:rFonts w:eastAsia="Times New Roman" w:cs="Times New Roman"/>
        <w:sz w:val="16"/>
        <w:szCs w:val="16"/>
      </w:rPr>
      <w:t xml:space="preserve"> of </w:t>
    </w:r>
    <w:r w:rsidR="00817E70" w:rsidRPr="00DE2334">
      <w:rPr>
        <w:rFonts w:eastAsia="Times New Roman" w:cs="Times New Roman"/>
        <w:sz w:val="16"/>
        <w:szCs w:val="16"/>
      </w:rPr>
      <w:fldChar w:fldCharType="begin"/>
    </w:r>
    <w:r w:rsidR="00817E70" w:rsidRPr="00DE2334">
      <w:rPr>
        <w:rFonts w:eastAsia="Times New Roman" w:cs="Times New Roman"/>
        <w:sz w:val="16"/>
        <w:szCs w:val="16"/>
      </w:rPr>
      <w:instrText xml:space="preserve"> NUMPAGES </w:instrText>
    </w:r>
    <w:r w:rsidR="00817E70" w:rsidRPr="00DE2334">
      <w:rPr>
        <w:rFonts w:eastAsia="Times New Roman" w:cs="Times New Roman"/>
        <w:sz w:val="16"/>
        <w:szCs w:val="16"/>
      </w:rPr>
      <w:fldChar w:fldCharType="separate"/>
    </w:r>
    <w:r w:rsidR="00817E70" w:rsidRPr="00DE2334">
      <w:rPr>
        <w:rFonts w:eastAsia="Times New Roman" w:cs="Times New Roman"/>
        <w:sz w:val="16"/>
        <w:szCs w:val="16"/>
      </w:rPr>
      <w:t>2</w:t>
    </w:r>
    <w:r w:rsidR="00817E70" w:rsidRPr="00DE2334">
      <w:rPr>
        <w:rFonts w:eastAsia="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472A" w14:textId="77777777" w:rsidR="00D0629B" w:rsidRDefault="00D0629B" w:rsidP="002F4F35">
      <w:pPr>
        <w:spacing w:after="0" w:line="240" w:lineRule="auto"/>
      </w:pPr>
      <w:r>
        <w:separator/>
      </w:r>
    </w:p>
  </w:footnote>
  <w:footnote w:type="continuationSeparator" w:id="0">
    <w:p w14:paraId="73CF2430" w14:textId="77777777" w:rsidR="00D0629B" w:rsidRDefault="00D0629B" w:rsidP="002F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B291F"/>
    <w:multiLevelType w:val="hybridMultilevel"/>
    <w:tmpl w:val="994C6F62"/>
    <w:lvl w:ilvl="0" w:tplc="15327EB2">
      <w:start w:val="3"/>
      <w:numFmt w:val="decimal"/>
      <w:lvlText w:val="%1."/>
      <w:lvlJc w:val="left"/>
      <w:pPr>
        <w:ind w:left="360" w:hanging="360"/>
      </w:pPr>
      <w:rPr>
        <w:rFonts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C4DC2"/>
    <w:multiLevelType w:val="multilevel"/>
    <w:tmpl w:val="526C904C"/>
    <w:styleLink w:val="Style2"/>
    <w:lvl w:ilvl="0">
      <w:start w:val="1"/>
      <w:numFmt w:val="decimal"/>
      <w:lvlText w:val="Item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E4701D"/>
    <w:multiLevelType w:val="hybridMultilevel"/>
    <w:tmpl w:val="8158ACD8"/>
    <w:lvl w:ilvl="0" w:tplc="29680184">
      <w:start w:val="3"/>
      <w:numFmt w:val="decimal"/>
      <w:lvlText w:val="%1."/>
      <w:lvlJc w:val="left"/>
      <w:pPr>
        <w:ind w:left="360" w:hanging="360"/>
      </w:pPr>
      <w:rPr>
        <w:rFonts w:hint="default"/>
        <w:i/>
        <w:strike w:val="0"/>
        <w:color w:val="auto"/>
        <w:spacing w:val="0"/>
        <w:w w:val="99"/>
        <w:sz w:val="24"/>
        <w:szCs w:val="2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BC43D9E">
      <w:start w:val="3"/>
      <w:numFmt w:val="decimal"/>
      <w:lvlText w:val="%4."/>
      <w:lvlJc w:val="left"/>
      <w:pPr>
        <w:ind w:left="2520" w:hanging="360"/>
      </w:pPr>
      <w:rPr>
        <w:rFonts w:hint="default"/>
        <w:i/>
        <w:w w:val="99"/>
        <w:sz w:val="24"/>
        <w:szCs w:val="20"/>
        <w:u w:val="singl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07041B"/>
    <w:multiLevelType w:val="hybridMultilevel"/>
    <w:tmpl w:val="39AA8652"/>
    <w:lvl w:ilvl="0" w:tplc="21620226">
      <w:start w:val="1"/>
      <w:numFmt w:val="decimal"/>
      <w:lvlText w:val="%1."/>
      <w:lvlJc w:val="left"/>
      <w:pPr>
        <w:ind w:left="360" w:hanging="360"/>
      </w:pPr>
      <w:rPr>
        <w:rFonts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6405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B429D"/>
    <w:multiLevelType w:val="multilevel"/>
    <w:tmpl w:val="526C904C"/>
    <w:numStyleLink w:val="Style2"/>
  </w:abstractNum>
  <w:abstractNum w:abstractNumId="9"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0"/>
  </w:num>
  <w:num w:numId="4">
    <w:abstractNumId w:val="9"/>
  </w:num>
  <w:num w:numId="5">
    <w:abstractNumId w:val="6"/>
  </w:num>
  <w:num w:numId="6">
    <w:abstractNumId w:val="3"/>
  </w:num>
  <w:num w:numId="7">
    <w:abstractNumId w:val="4"/>
  </w:num>
  <w:num w:numId="8">
    <w:abstractNumId w:val="1"/>
  </w:num>
  <w:num w:numId="9">
    <w:abstractNumId w:val="2"/>
  </w:num>
  <w:num w:numId="10">
    <w:abstractNumId w:val="8"/>
    <w:lvlOverride w:ilvl="0">
      <w:lvl w:ilvl="0">
        <w:start w:val="3"/>
        <w:numFmt w:val="decimal"/>
        <w:lvlText w:val="Item %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0E"/>
    <w:rsid w:val="00031F7C"/>
    <w:rsid w:val="000542CA"/>
    <w:rsid w:val="0006775D"/>
    <w:rsid w:val="00071EAA"/>
    <w:rsid w:val="00072D60"/>
    <w:rsid w:val="000737AB"/>
    <w:rsid w:val="000F3EF2"/>
    <w:rsid w:val="001033EC"/>
    <w:rsid w:val="00117448"/>
    <w:rsid w:val="00173B5E"/>
    <w:rsid w:val="001B3488"/>
    <w:rsid w:val="001C20FB"/>
    <w:rsid w:val="001F2E95"/>
    <w:rsid w:val="00206EE4"/>
    <w:rsid w:val="0025346B"/>
    <w:rsid w:val="00285470"/>
    <w:rsid w:val="00291413"/>
    <w:rsid w:val="002F4F35"/>
    <w:rsid w:val="003935E3"/>
    <w:rsid w:val="003B16D5"/>
    <w:rsid w:val="003B3C6F"/>
    <w:rsid w:val="00445CC2"/>
    <w:rsid w:val="00471A81"/>
    <w:rsid w:val="00481200"/>
    <w:rsid w:val="004A30F5"/>
    <w:rsid w:val="004B4A70"/>
    <w:rsid w:val="00510C3D"/>
    <w:rsid w:val="005940B2"/>
    <w:rsid w:val="005952EB"/>
    <w:rsid w:val="005A1C42"/>
    <w:rsid w:val="005D62B0"/>
    <w:rsid w:val="005F0176"/>
    <w:rsid w:val="00653370"/>
    <w:rsid w:val="00673496"/>
    <w:rsid w:val="006C0804"/>
    <w:rsid w:val="00751677"/>
    <w:rsid w:val="00757E96"/>
    <w:rsid w:val="007A5115"/>
    <w:rsid w:val="007B05CA"/>
    <w:rsid w:val="007E6F28"/>
    <w:rsid w:val="008126F1"/>
    <w:rsid w:val="0081360E"/>
    <w:rsid w:val="00817E70"/>
    <w:rsid w:val="0085376F"/>
    <w:rsid w:val="008755A6"/>
    <w:rsid w:val="00885E3F"/>
    <w:rsid w:val="00890DD7"/>
    <w:rsid w:val="008A795D"/>
    <w:rsid w:val="008B6A0E"/>
    <w:rsid w:val="008C14C9"/>
    <w:rsid w:val="008D0B59"/>
    <w:rsid w:val="008D49EF"/>
    <w:rsid w:val="008E2A0A"/>
    <w:rsid w:val="008E36A2"/>
    <w:rsid w:val="00932BB9"/>
    <w:rsid w:val="00946002"/>
    <w:rsid w:val="0097269D"/>
    <w:rsid w:val="009E2C3F"/>
    <w:rsid w:val="009E470D"/>
    <w:rsid w:val="009F463A"/>
    <w:rsid w:val="00A13C07"/>
    <w:rsid w:val="00A36B24"/>
    <w:rsid w:val="00A969AE"/>
    <w:rsid w:val="00AA5252"/>
    <w:rsid w:val="00AC1965"/>
    <w:rsid w:val="00AC2F0D"/>
    <w:rsid w:val="00AD02A8"/>
    <w:rsid w:val="00B12883"/>
    <w:rsid w:val="00B22510"/>
    <w:rsid w:val="00B22853"/>
    <w:rsid w:val="00B3741E"/>
    <w:rsid w:val="00B378D1"/>
    <w:rsid w:val="00B55F86"/>
    <w:rsid w:val="00B65F9D"/>
    <w:rsid w:val="00B81FDB"/>
    <w:rsid w:val="00BA2CC5"/>
    <w:rsid w:val="00BB07AF"/>
    <w:rsid w:val="00BC1058"/>
    <w:rsid w:val="00BF4BC1"/>
    <w:rsid w:val="00C111EF"/>
    <w:rsid w:val="00C26CED"/>
    <w:rsid w:val="00C414A1"/>
    <w:rsid w:val="00C52129"/>
    <w:rsid w:val="00C62294"/>
    <w:rsid w:val="00C629BE"/>
    <w:rsid w:val="00CD6F6D"/>
    <w:rsid w:val="00CE2760"/>
    <w:rsid w:val="00CE47FB"/>
    <w:rsid w:val="00CF7E46"/>
    <w:rsid w:val="00D0629B"/>
    <w:rsid w:val="00D30EE9"/>
    <w:rsid w:val="00D32808"/>
    <w:rsid w:val="00D5163A"/>
    <w:rsid w:val="00D77A82"/>
    <w:rsid w:val="00DA56B3"/>
    <w:rsid w:val="00DB4FFC"/>
    <w:rsid w:val="00DE2334"/>
    <w:rsid w:val="00DE5489"/>
    <w:rsid w:val="00DE6D95"/>
    <w:rsid w:val="00E058CA"/>
    <w:rsid w:val="00E32AAC"/>
    <w:rsid w:val="00E73EAF"/>
    <w:rsid w:val="00E761EE"/>
    <w:rsid w:val="00EA0936"/>
    <w:rsid w:val="00EB38FC"/>
    <w:rsid w:val="00EC6FC0"/>
    <w:rsid w:val="00F10BEB"/>
    <w:rsid w:val="00F64B75"/>
    <w:rsid w:val="00F803F4"/>
    <w:rsid w:val="00FD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332F2E"/>
  <w15:chartTrackingRefBased/>
  <w15:docId w15:val="{4D2BD07D-3891-44E0-9E7E-1E5C8C5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36"/>
    <w:rPr>
      <w:rFonts w:ascii="Arial" w:hAnsi="Arial"/>
      <w:sz w:val="24"/>
    </w:rPr>
  </w:style>
  <w:style w:type="paragraph" w:styleId="Heading1">
    <w:name w:val="heading 1"/>
    <w:basedOn w:val="Normal"/>
    <w:next w:val="Normal"/>
    <w:link w:val="Heading1Char"/>
    <w:uiPriority w:val="9"/>
    <w:qFormat/>
    <w:rsid w:val="008B6A0E"/>
    <w:pPr>
      <w:keepNext/>
      <w:keepLines/>
      <w:spacing w:before="120" w:after="12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B6A0E"/>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0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B6A0E"/>
    <w:rPr>
      <w:rFonts w:ascii="Arial" w:eastAsiaTheme="majorEastAsia" w:hAnsi="Arial" w:cstheme="majorBidi"/>
      <w:b/>
      <w:sz w:val="24"/>
      <w:szCs w:val="26"/>
    </w:rPr>
  </w:style>
  <w:style w:type="paragraph" w:styleId="NormalWeb">
    <w:name w:val="Normal (Web)"/>
    <w:basedOn w:val="Normal"/>
    <w:uiPriority w:val="99"/>
    <w:semiHidden/>
    <w:rsid w:val="005D62B0"/>
    <w:pPr>
      <w:spacing w:before="100" w:beforeAutospacing="1" w:after="100" w:afterAutospacing="1" w:line="240" w:lineRule="auto"/>
    </w:pPr>
    <w:rPr>
      <w:rFonts w:ascii="Times New Roman" w:eastAsia="Calibri" w:hAnsi="Times New Roman" w:cs="Times New Roman"/>
      <w:szCs w:val="24"/>
    </w:rPr>
  </w:style>
  <w:style w:type="character" w:styleId="CommentReference">
    <w:name w:val="annotation reference"/>
    <w:basedOn w:val="DefaultParagraphFont"/>
    <w:uiPriority w:val="99"/>
    <w:semiHidden/>
    <w:unhideWhenUsed/>
    <w:rsid w:val="008E36A2"/>
    <w:rPr>
      <w:sz w:val="16"/>
      <w:szCs w:val="16"/>
    </w:rPr>
  </w:style>
  <w:style w:type="paragraph" w:styleId="CommentText">
    <w:name w:val="annotation text"/>
    <w:basedOn w:val="Normal"/>
    <w:link w:val="CommentTextChar"/>
    <w:uiPriority w:val="99"/>
    <w:semiHidden/>
    <w:unhideWhenUsed/>
    <w:rsid w:val="008E36A2"/>
    <w:pPr>
      <w:spacing w:line="240" w:lineRule="auto"/>
    </w:pPr>
    <w:rPr>
      <w:sz w:val="20"/>
      <w:szCs w:val="20"/>
    </w:rPr>
  </w:style>
  <w:style w:type="character" w:customStyle="1" w:styleId="CommentTextChar">
    <w:name w:val="Comment Text Char"/>
    <w:basedOn w:val="DefaultParagraphFont"/>
    <w:link w:val="CommentText"/>
    <w:uiPriority w:val="99"/>
    <w:semiHidden/>
    <w:rsid w:val="008E36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36A2"/>
    <w:rPr>
      <w:b/>
      <w:bCs/>
    </w:rPr>
  </w:style>
  <w:style w:type="character" w:customStyle="1" w:styleId="CommentSubjectChar">
    <w:name w:val="Comment Subject Char"/>
    <w:basedOn w:val="CommentTextChar"/>
    <w:link w:val="CommentSubject"/>
    <w:uiPriority w:val="99"/>
    <w:semiHidden/>
    <w:rsid w:val="008E36A2"/>
    <w:rPr>
      <w:rFonts w:ascii="Arial" w:hAnsi="Arial"/>
      <w:b/>
      <w:bCs/>
      <w:sz w:val="20"/>
      <w:szCs w:val="20"/>
    </w:rPr>
  </w:style>
  <w:style w:type="paragraph" w:styleId="ListParagraph">
    <w:name w:val="List Paragraph"/>
    <w:basedOn w:val="Normal"/>
    <w:uiPriority w:val="34"/>
    <w:qFormat/>
    <w:rsid w:val="00D77A82"/>
    <w:pPr>
      <w:widowControl w:val="0"/>
      <w:spacing w:after="0" w:line="240" w:lineRule="auto"/>
      <w:ind w:left="720"/>
      <w:contextualSpacing/>
    </w:pPr>
    <w:rPr>
      <w:rFonts w:ascii="Helvetica" w:eastAsia="Batang" w:hAnsi="Helvetica" w:cs="Times New Roman"/>
      <w:snapToGrid w:val="0"/>
      <w:szCs w:val="20"/>
    </w:rPr>
  </w:style>
  <w:style w:type="paragraph" w:styleId="Header">
    <w:name w:val="header"/>
    <w:basedOn w:val="Normal"/>
    <w:link w:val="HeaderChar"/>
    <w:uiPriority w:val="99"/>
    <w:unhideWhenUsed/>
    <w:rsid w:val="002F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F35"/>
    <w:rPr>
      <w:rFonts w:ascii="Arial" w:hAnsi="Arial"/>
      <w:sz w:val="24"/>
    </w:rPr>
  </w:style>
  <w:style w:type="paragraph" w:styleId="Footer">
    <w:name w:val="footer"/>
    <w:basedOn w:val="Normal"/>
    <w:link w:val="FooterChar"/>
    <w:uiPriority w:val="99"/>
    <w:unhideWhenUsed/>
    <w:rsid w:val="002F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F35"/>
    <w:rPr>
      <w:rFonts w:ascii="Arial" w:hAnsi="Arial"/>
      <w:sz w:val="24"/>
    </w:rPr>
  </w:style>
  <w:style w:type="numbering" w:customStyle="1" w:styleId="Style2">
    <w:name w:val="Style2"/>
    <w:uiPriority w:val="99"/>
    <w:rsid w:val="00EA0936"/>
    <w:pPr>
      <w:numPr>
        <w:numId w:val="9"/>
      </w:numPr>
    </w:pPr>
  </w:style>
  <w:style w:type="paragraph" w:customStyle="1" w:styleId="Default">
    <w:name w:val="Default"/>
    <w:rsid w:val="002854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6627">
      <w:bodyDiv w:val="1"/>
      <w:marLeft w:val="0"/>
      <w:marRight w:val="0"/>
      <w:marTop w:val="0"/>
      <w:marBottom w:val="0"/>
      <w:divBdr>
        <w:top w:val="none" w:sz="0" w:space="0" w:color="auto"/>
        <w:left w:val="none" w:sz="0" w:space="0" w:color="auto"/>
        <w:bottom w:val="none" w:sz="0" w:space="0" w:color="auto"/>
        <w:right w:val="none" w:sz="0" w:space="0" w:color="auto"/>
      </w:divBdr>
    </w:div>
    <w:div w:id="206647769">
      <w:bodyDiv w:val="1"/>
      <w:marLeft w:val="0"/>
      <w:marRight w:val="0"/>
      <w:marTop w:val="0"/>
      <w:marBottom w:val="0"/>
      <w:divBdr>
        <w:top w:val="none" w:sz="0" w:space="0" w:color="auto"/>
        <w:left w:val="none" w:sz="0" w:space="0" w:color="auto"/>
        <w:bottom w:val="none" w:sz="0" w:space="0" w:color="auto"/>
        <w:right w:val="none" w:sz="0" w:space="0" w:color="auto"/>
      </w:divBdr>
    </w:div>
    <w:div w:id="316690866">
      <w:bodyDiv w:val="1"/>
      <w:marLeft w:val="0"/>
      <w:marRight w:val="0"/>
      <w:marTop w:val="0"/>
      <w:marBottom w:val="0"/>
      <w:divBdr>
        <w:top w:val="none" w:sz="0" w:space="0" w:color="auto"/>
        <w:left w:val="none" w:sz="0" w:space="0" w:color="auto"/>
        <w:bottom w:val="none" w:sz="0" w:space="0" w:color="auto"/>
        <w:right w:val="none" w:sz="0" w:space="0" w:color="auto"/>
      </w:divBdr>
    </w:div>
    <w:div w:id="210202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DSASS-06-21-FET-Pt10-Add#1</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DSASS-06-21-FET-Pt10-Add#1-SOS Filing</dc:title>
  <dc:subject/>
  <dc:creator>DaRosa, Karla@HCD</dc:creator>
  <cp:keywords/>
  <dc:description/>
  <cp:lastModifiedBy>Hagler, Carol@DGS</cp:lastModifiedBy>
  <cp:revision>11</cp:revision>
  <cp:lastPrinted>2021-12-08T19:17:00Z</cp:lastPrinted>
  <dcterms:created xsi:type="dcterms:W3CDTF">2021-12-29T18:07:00Z</dcterms:created>
  <dcterms:modified xsi:type="dcterms:W3CDTF">2022-02-15T17:04:00Z</dcterms:modified>
</cp:coreProperties>
</file>