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99ED" w14:textId="77777777" w:rsidR="00D3397F" w:rsidRDefault="00D3397F" w:rsidP="00D3397F">
      <w:pPr>
        <w:pStyle w:val="Heading1"/>
        <w:jc w:val="center"/>
        <w:rPr>
          <w:rFonts w:ascii="Century Gothic" w:eastAsia="Batang" w:hAnsi="Century Gothic" w:cs="Arial"/>
          <w:b w:val="0"/>
          <w:bCs/>
          <w:szCs w:val="24"/>
        </w:rPr>
      </w:pPr>
      <w:r>
        <w:rPr>
          <w:rFonts w:ascii="Century Gothic" w:eastAsia="Batang" w:hAnsi="Century Gothic" w:cs="Arial"/>
          <w:b w:val="0"/>
          <w:bCs/>
          <w:szCs w:val="24"/>
        </w:rPr>
        <w:t xml:space="preserve">APPROVED BY THE CALIFORNIA BUILDING STANDARDS COMMISSION </w:t>
      </w:r>
    </w:p>
    <w:p w14:paraId="237E7FC8" w14:textId="59D4DAC9" w:rsidR="00D3397F" w:rsidRPr="00D3397F" w:rsidRDefault="00D3397F" w:rsidP="00F10BEB">
      <w:pPr>
        <w:pStyle w:val="Heading1"/>
        <w:jc w:val="center"/>
        <w:rPr>
          <w:rFonts w:ascii="Century Gothic" w:eastAsia="Batang" w:hAnsi="Century Gothic" w:cs="Arial"/>
          <w:b w:val="0"/>
          <w:bCs/>
          <w:szCs w:val="24"/>
        </w:rPr>
      </w:pPr>
      <w:r>
        <w:rPr>
          <w:rFonts w:ascii="Century Gothic" w:eastAsia="Batang" w:hAnsi="Century Gothic" w:cs="Arial"/>
          <w:b w:val="0"/>
          <w:bCs/>
          <w:szCs w:val="24"/>
        </w:rPr>
        <w:t>December 16, 2021</w:t>
      </w:r>
    </w:p>
    <w:p w14:paraId="0286E7C4" w14:textId="59C2DBFE" w:rsidR="008B6A0E" w:rsidRPr="00353C00" w:rsidRDefault="008C14C9" w:rsidP="00F10BEB">
      <w:pPr>
        <w:pStyle w:val="Heading1"/>
        <w:jc w:val="center"/>
      </w:pPr>
      <w:r>
        <w:t>ADDENDUM to the FINAL EXPRESS TERMS</w:t>
      </w:r>
    </w:p>
    <w:p w14:paraId="14E3969C" w14:textId="77777777" w:rsidR="00F10BEB" w:rsidRDefault="00F10BEB" w:rsidP="008B6A0E">
      <w:pPr>
        <w:pStyle w:val="Heading1"/>
      </w:pPr>
    </w:p>
    <w:p w14:paraId="0C760553" w14:textId="7AF144A6" w:rsidR="008B6A0E" w:rsidRPr="00353C00" w:rsidRDefault="008B6A0E" w:rsidP="008B6A0E">
      <w:pPr>
        <w:pStyle w:val="Heading1"/>
      </w:pPr>
      <w:r w:rsidRPr="00353C00">
        <w:t xml:space="preserve">CALIFORNIA </w:t>
      </w:r>
      <w:r w:rsidR="007B05CA">
        <w:t>BUILDING STANDARDS COMMISSION</w:t>
      </w:r>
    </w:p>
    <w:p w14:paraId="26B700B2" w14:textId="7151C1A1" w:rsidR="008B6A0E" w:rsidRPr="00353C00" w:rsidRDefault="007B05CA" w:rsidP="008B6A0E">
      <w:pPr>
        <w:pStyle w:val="Heading1"/>
      </w:pPr>
      <w:r>
        <w:t>BSC 03</w:t>
      </w:r>
      <w:r w:rsidR="008B6A0E" w:rsidRPr="00353C00">
        <w:t>/</w:t>
      </w:r>
      <w:r>
        <w:t>21</w:t>
      </w:r>
    </w:p>
    <w:p w14:paraId="55A27855" w14:textId="17ABF0CC" w:rsidR="008B6A0E" w:rsidRDefault="008B6A0E" w:rsidP="008B6A0E">
      <w:pPr>
        <w:pStyle w:val="Heading1"/>
        <w:rPr>
          <w:rFonts w:cs="Arial"/>
          <w:bCs/>
          <w:szCs w:val="24"/>
        </w:rPr>
      </w:pPr>
      <w:r w:rsidRPr="00FF68C6">
        <w:rPr>
          <w:rFonts w:cs="Arial"/>
          <w:bCs/>
          <w:szCs w:val="24"/>
        </w:rPr>
        <w:t xml:space="preserve">California </w:t>
      </w:r>
      <w:r w:rsidR="007B05CA">
        <w:rPr>
          <w:rFonts w:cs="Arial"/>
          <w:bCs/>
          <w:szCs w:val="24"/>
        </w:rPr>
        <w:t>Green Building Standards Code (</w:t>
      </w:r>
      <w:proofErr w:type="spellStart"/>
      <w:r w:rsidR="007B05CA">
        <w:rPr>
          <w:rFonts w:cs="Arial"/>
          <w:bCs/>
          <w:szCs w:val="24"/>
        </w:rPr>
        <w:t>CALGreen</w:t>
      </w:r>
      <w:proofErr w:type="spellEnd"/>
      <w:r w:rsidR="007B05CA">
        <w:rPr>
          <w:rFonts w:cs="Arial"/>
          <w:bCs/>
          <w:szCs w:val="24"/>
        </w:rPr>
        <w:t>)</w:t>
      </w:r>
      <w:r w:rsidRPr="00FF68C6">
        <w:rPr>
          <w:rFonts w:cs="Arial"/>
          <w:bCs/>
          <w:szCs w:val="24"/>
        </w:rPr>
        <w:t xml:space="preserve">, Part </w:t>
      </w:r>
      <w:r w:rsidR="007B05CA">
        <w:rPr>
          <w:rFonts w:cs="Arial"/>
          <w:bCs/>
          <w:szCs w:val="24"/>
        </w:rPr>
        <w:t>11</w:t>
      </w:r>
    </w:p>
    <w:p w14:paraId="195BC6FD" w14:textId="77777777" w:rsidR="00D77A82" w:rsidRDefault="00D77A82" w:rsidP="00D77A82">
      <w:pPr>
        <w:pStyle w:val="Heading2"/>
        <w:rPr>
          <w:rFonts w:cs="Arial"/>
        </w:rPr>
      </w:pPr>
    </w:p>
    <w:p w14:paraId="199C4023" w14:textId="113AD721" w:rsidR="00D77A82" w:rsidRPr="003C3293" w:rsidRDefault="00D77A82" w:rsidP="00D77A82">
      <w:pPr>
        <w:pStyle w:val="Heading2"/>
        <w:rPr>
          <w:rFonts w:cs="Arial"/>
        </w:rPr>
      </w:pPr>
      <w:r w:rsidRPr="003C3293">
        <w:rPr>
          <w:rFonts w:cs="Arial"/>
        </w:rPr>
        <w:t>LEGEND for EXPRESS TERMS (California only codes - Parts 1, 6, 8, 11, 12)</w:t>
      </w:r>
    </w:p>
    <w:p w14:paraId="1A5540BB" w14:textId="77777777" w:rsidR="00D77A82" w:rsidRPr="003C3293" w:rsidRDefault="00D77A82" w:rsidP="00D77A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>Existing California amendments appear upright</w:t>
      </w:r>
    </w:p>
    <w:p w14:paraId="53A0FA62" w14:textId="77777777" w:rsidR="00D77A82" w:rsidRPr="003C3293" w:rsidRDefault="00D77A82" w:rsidP="00D77A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C3293">
        <w:rPr>
          <w:rFonts w:ascii="Arial" w:hAnsi="Arial" w:cs="Arial"/>
          <w:szCs w:val="24"/>
        </w:rPr>
        <w:t xml:space="preserve">Amended or new California amendments appear </w:t>
      </w:r>
      <w:r w:rsidRPr="003C3293">
        <w:rPr>
          <w:rFonts w:ascii="Arial" w:hAnsi="Arial" w:cs="Arial"/>
          <w:iCs/>
          <w:szCs w:val="24"/>
          <w:u w:val="single"/>
        </w:rPr>
        <w:t>underlined</w:t>
      </w:r>
    </w:p>
    <w:p w14:paraId="6F3BD2BC" w14:textId="77777777" w:rsidR="00D77A82" w:rsidRDefault="00D77A82" w:rsidP="00EC6FC0"/>
    <w:p w14:paraId="732843C6" w14:textId="5FB649D8" w:rsidR="00F10BEB" w:rsidRDefault="008E36A2" w:rsidP="00EC6FC0">
      <w:r>
        <w:t xml:space="preserve">Correction </w:t>
      </w:r>
      <w:r w:rsidR="00EC6FC0">
        <w:t>to</w:t>
      </w:r>
      <w:r w:rsidR="005D62B0">
        <w:t xml:space="preserve"> Final Express Terms date</w:t>
      </w:r>
      <w:r w:rsidR="004A30F5">
        <w:t>d</w:t>
      </w:r>
      <w:r w:rsidR="005D62B0">
        <w:t xml:space="preserve"> </w:t>
      </w:r>
      <w:r w:rsidR="0025346B">
        <w:t>November 3, 2021</w:t>
      </w:r>
      <w:r w:rsidR="00291413">
        <w:t xml:space="preserve">. </w:t>
      </w:r>
    </w:p>
    <w:p w14:paraId="14812F6C" w14:textId="231EA117" w:rsidR="00B81FDB" w:rsidRDefault="00B81FDB" w:rsidP="00EC6FC0">
      <w:r>
        <w:t>This addendum properly shows the proposed definition, EV Capable Spaces, underlined.</w:t>
      </w:r>
    </w:p>
    <w:p w14:paraId="6CA21B31" w14:textId="55E24869" w:rsidR="00B81FDB" w:rsidRPr="00946002" w:rsidRDefault="00B81FDB" w:rsidP="00EC6FC0">
      <w:pPr>
        <w:rPr>
          <w:b/>
          <w:bCs/>
        </w:rPr>
      </w:pPr>
      <w:r w:rsidRPr="00946002">
        <w:rPr>
          <w:b/>
          <w:bCs/>
        </w:rPr>
        <w:t>Background:</w:t>
      </w:r>
    </w:p>
    <w:p w14:paraId="46C79FA8" w14:textId="1A100946" w:rsidR="00EC6FC0" w:rsidRPr="00EC6FC0" w:rsidRDefault="00F10BEB" w:rsidP="00EC6FC0">
      <w:r>
        <w:t xml:space="preserve">During the </w:t>
      </w:r>
      <w:proofErr w:type="spellStart"/>
      <w:r w:rsidRPr="00F10BEB">
        <w:t>BSC’s</w:t>
      </w:r>
      <w:proofErr w:type="spellEnd"/>
      <w:r w:rsidRPr="00F10BEB">
        <w:t xml:space="preserve"> Green Building (GREEN) Code Advisory Committee (CAC)</w:t>
      </w:r>
      <w:r>
        <w:t xml:space="preserve"> which</w:t>
      </w:r>
      <w:r w:rsidRPr="00F10BEB">
        <w:t xml:space="preserve"> met on April 28 &amp; 29th, 2021</w:t>
      </w:r>
      <w:r w:rsidR="00A36B24">
        <w:t>,</w:t>
      </w:r>
      <w:r>
        <w:t xml:space="preserve"> BSC proposed a new definition for EV Capable </w:t>
      </w:r>
      <w:r w:rsidR="005F0176">
        <w:t>S</w:t>
      </w:r>
      <w:r>
        <w:t>paces</w:t>
      </w:r>
      <w:r w:rsidRPr="00F10BEB">
        <w:t>.</w:t>
      </w:r>
      <w:r>
        <w:t xml:space="preserve"> The new definition </w:t>
      </w:r>
      <w:r w:rsidR="008E36A2">
        <w:t xml:space="preserve">text </w:t>
      </w:r>
      <w:r>
        <w:t>was properly shown with</w:t>
      </w:r>
      <w:r w:rsidR="005F0176">
        <w:t xml:space="preserve"> </w:t>
      </w:r>
      <w:r>
        <w:t>single underline</w:t>
      </w:r>
      <w:r w:rsidR="00B81FDB">
        <w:t xml:space="preserve"> indicating the definition is proposed new code language</w:t>
      </w:r>
      <w:r>
        <w:t>.</w:t>
      </w:r>
      <w:r w:rsidR="00A36B24">
        <w:t xml:space="preserve"> The Initial Statement of Reasons (</w:t>
      </w:r>
      <w:proofErr w:type="spellStart"/>
      <w:r w:rsidR="00A36B24">
        <w:t>ISOR</w:t>
      </w:r>
      <w:proofErr w:type="spellEnd"/>
      <w:r w:rsidR="00A36B24">
        <w:t>) clearly explained the proposed definition is new code language.</w:t>
      </w:r>
      <w:r>
        <w:t xml:space="preserve"> However, during the 45-day comment period</w:t>
      </w:r>
      <w:r w:rsidR="00B81FDB">
        <w:t>,</w:t>
      </w:r>
      <w:r>
        <w:t xml:space="preserve"> held August 13</w:t>
      </w:r>
      <w:r w:rsidR="008E36A2">
        <w:t xml:space="preserve"> </w:t>
      </w:r>
      <w:r w:rsidR="00B81FDB">
        <w:t>through</w:t>
      </w:r>
      <w:r w:rsidR="008E36A2">
        <w:t xml:space="preserve"> </w:t>
      </w:r>
      <w:r>
        <w:t>September 27, 20</w:t>
      </w:r>
      <w:r w:rsidR="00653370">
        <w:t>21,</w:t>
      </w:r>
      <w:r w:rsidR="005F0176">
        <w:t xml:space="preserve"> the 45-day </w:t>
      </w:r>
      <w:r>
        <w:t>E</w:t>
      </w:r>
      <w:r w:rsidR="005F0176">
        <w:t>xpress Terms</w:t>
      </w:r>
      <w:r w:rsidR="008E36A2">
        <w:t xml:space="preserve"> did not show the new definition</w:t>
      </w:r>
      <w:r w:rsidR="00B81FDB">
        <w:t>,</w:t>
      </w:r>
      <w:r w:rsidR="008E36A2">
        <w:t xml:space="preserve"> EV Capable Spaces</w:t>
      </w:r>
      <w:r w:rsidR="00A36B24">
        <w:t>,</w:t>
      </w:r>
      <w:r w:rsidR="008E36A2">
        <w:t xml:space="preserve"> underlined. The </w:t>
      </w:r>
      <w:r w:rsidR="00A36B24">
        <w:t xml:space="preserve">45-day </w:t>
      </w:r>
      <w:proofErr w:type="spellStart"/>
      <w:r w:rsidR="00A36B24">
        <w:t>ISOR</w:t>
      </w:r>
      <w:proofErr w:type="spellEnd"/>
      <w:r w:rsidR="00A36B24">
        <w:t xml:space="preserve"> </w:t>
      </w:r>
      <w:r w:rsidR="00CF7E46">
        <w:t>clearly explains that the proposed definition is new code language.</w:t>
      </w:r>
      <w:r w:rsidR="005F0176">
        <w:t xml:space="preserve"> </w:t>
      </w:r>
      <w:r w:rsidR="00CF7E46">
        <w:t>The</w:t>
      </w:r>
      <w:r w:rsidR="005F0176">
        <w:t xml:space="preserve"> Final Express Terms posted </w:t>
      </w:r>
      <w:r w:rsidR="00653370">
        <w:t xml:space="preserve">on the </w:t>
      </w:r>
      <w:r w:rsidR="00B81FDB">
        <w:t>December 2021 Commission Meeting web</w:t>
      </w:r>
      <w:r w:rsidR="00A36B24">
        <w:t xml:space="preserve"> </w:t>
      </w:r>
      <w:r w:rsidR="00B81FDB">
        <w:t>page</w:t>
      </w:r>
      <w:r w:rsidR="00653370">
        <w:t xml:space="preserve"> </w:t>
      </w:r>
      <w:r w:rsidR="00B81FDB">
        <w:t>does no</w:t>
      </w:r>
      <w:r w:rsidR="00A36B24">
        <w:t>t</w:t>
      </w:r>
      <w:r w:rsidR="00B81FDB">
        <w:t xml:space="preserve"> </w:t>
      </w:r>
      <w:r w:rsidR="005F0176">
        <w:t xml:space="preserve">show the </w:t>
      </w:r>
      <w:r w:rsidR="00653370">
        <w:t xml:space="preserve">definition </w:t>
      </w:r>
      <w:r w:rsidR="00B81FDB">
        <w:t>as</w:t>
      </w:r>
      <w:r w:rsidR="00653370">
        <w:t xml:space="preserve"> underline</w:t>
      </w:r>
      <w:r w:rsidR="00A36B24">
        <w:t>d</w:t>
      </w:r>
      <w:r w:rsidR="00653370">
        <w:t xml:space="preserve">. </w:t>
      </w:r>
      <w:r w:rsidR="005F0176">
        <w:t xml:space="preserve"> </w:t>
      </w:r>
      <w:r w:rsidR="00B81FDB">
        <w:t>For full transparency,</w:t>
      </w:r>
      <w:r w:rsidR="00653370">
        <w:t xml:space="preserve"> this addendum </w:t>
      </w:r>
      <w:r w:rsidR="00B22853">
        <w:t>clarifies</w:t>
      </w:r>
      <w:r w:rsidR="00653370">
        <w:t xml:space="preserve"> the oversight</w:t>
      </w:r>
      <w:r w:rsidR="00A36B24">
        <w:t xml:space="preserve"> showing the</w:t>
      </w:r>
      <w:r w:rsidR="001B3488">
        <w:t xml:space="preserve"> </w:t>
      </w:r>
      <w:r w:rsidR="00EC6FC0">
        <w:t xml:space="preserve">proposed text </w:t>
      </w:r>
      <w:r w:rsidR="00653370">
        <w:t>underline</w:t>
      </w:r>
      <w:r w:rsidR="001B3488">
        <w:t>d.</w:t>
      </w:r>
    </w:p>
    <w:p w14:paraId="54EF3101" w14:textId="18B0FE1E" w:rsidR="008B6A0E" w:rsidRPr="00FF68C6" w:rsidRDefault="008B6A0E" w:rsidP="008B6A0E">
      <w:pPr>
        <w:pStyle w:val="Heading2"/>
        <w:rPr>
          <w:b w:val="0"/>
        </w:rPr>
      </w:pPr>
      <w:r w:rsidRPr="00FF68C6">
        <w:t xml:space="preserve">ITEM </w:t>
      </w:r>
      <w:r w:rsidR="007B05CA">
        <w:t>2</w:t>
      </w:r>
      <w:r w:rsidRPr="00FF68C6">
        <w:t>:</w:t>
      </w:r>
    </w:p>
    <w:p w14:paraId="0DC61882" w14:textId="29EC98F2" w:rsidR="00F10BEB" w:rsidRDefault="005D62B0" w:rsidP="00F10BEB">
      <w:pPr>
        <w:pStyle w:val="NormalWeb"/>
        <w:spacing w:before="0" w:beforeAutospacing="0" w:after="240" w:afterAutospacing="0"/>
        <w:rPr>
          <w:rFonts w:ascii="Arial" w:hAnsi="Arial" w:cs="Arial"/>
        </w:rPr>
      </w:pPr>
      <w:r w:rsidRPr="00B92399">
        <w:rPr>
          <w:rFonts w:ascii="Arial" w:hAnsi="Arial" w:cs="Arial"/>
          <w:b/>
          <w:bCs/>
        </w:rPr>
        <w:t>Rationale</w:t>
      </w:r>
      <w:r w:rsidR="001B3488">
        <w:rPr>
          <w:rFonts w:ascii="Arial" w:hAnsi="Arial" w:cs="Arial"/>
          <w:b/>
          <w:bCs/>
        </w:rPr>
        <w:t xml:space="preserve"> from the (</w:t>
      </w:r>
      <w:proofErr w:type="spellStart"/>
      <w:r w:rsidR="001B3488">
        <w:rPr>
          <w:rFonts w:ascii="Arial" w:hAnsi="Arial" w:cs="Arial"/>
          <w:b/>
          <w:bCs/>
        </w:rPr>
        <w:t>ISOR</w:t>
      </w:r>
      <w:proofErr w:type="spellEnd"/>
      <w:r w:rsidR="001B3488">
        <w:rPr>
          <w:rFonts w:ascii="Arial" w:hAnsi="Arial" w:cs="Arial"/>
          <w:b/>
          <w:bCs/>
        </w:rPr>
        <w:t>)</w:t>
      </w:r>
      <w:r w:rsidRPr="00B92399">
        <w:rPr>
          <w:rFonts w:ascii="Arial" w:hAnsi="Arial" w:cs="Arial"/>
          <w:b/>
          <w:bCs/>
        </w:rPr>
        <w:t xml:space="preserve">: </w:t>
      </w:r>
      <w:r w:rsidR="00F10BEB" w:rsidRPr="00F10BEB">
        <w:rPr>
          <w:rFonts w:ascii="Arial" w:hAnsi="Arial" w:cs="Arial"/>
        </w:rPr>
        <w:t xml:space="preserve">BSC is proposing to adopt a new definition for EV capable space to clarify the term as used within </w:t>
      </w:r>
      <w:proofErr w:type="spellStart"/>
      <w:r w:rsidR="00F10BEB" w:rsidRPr="00F10BEB">
        <w:rPr>
          <w:rFonts w:ascii="Arial" w:hAnsi="Arial" w:cs="Arial"/>
        </w:rPr>
        <w:t>CALGreen</w:t>
      </w:r>
      <w:proofErr w:type="spellEnd"/>
      <w:r w:rsidR="00F10BEB" w:rsidRPr="00F10BEB">
        <w:rPr>
          <w:rFonts w:ascii="Arial" w:hAnsi="Arial" w:cs="Arial"/>
        </w:rPr>
        <w:t xml:space="preserve"> and in the EV charging industry. This definition refers to a space which has capability or infrastructure to facilitate future EV charging. This proposed definition is being co-adopted with other state agencies </w:t>
      </w:r>
      <w:proofErr w:type="spellStart"/>
      <w:r w:rsidR="00F10BEB" w:rsidRPr="00F10BEB">
        <w:rPr>
          <w:rFonts w:ascii="Arial" w:hAnsi="Arial" w:cs="Arial"/>
        </w:rPr>
        <w:t>DSA</w:t>
      </w:r>
      <w:proofErr w:type="spellEnd"/>
      <w:r w:rsidR="00F10BEB" w:rsidRPr="00F10BEB">
        <w:rPr>
          <w:rFonts w:ascii="Arial" w:hAnsi="Arial" w:cs="Arial"/>
        </w:rPr>
        <w:t xml:space="preserve"> and </w:t>
      </w:r>
      <w:proofErr w:type="spellStart"/>
      <w:r w:rsidR="00F10BEB" w:rsidRPr="00F10BEB">
        <w:rPr>
          <w:rFonts w:ascii="Arial" w:hAnsi="Arial" w:cs="Arial"/>
        </w:rPr>
        <w:t>HCD</w:t>
      </w:r>
      <w:proofErr w:type="spellEnd"/>
      <w:r w:rsidR="00F10BEB" w:rsidRPr="00F10BEB">
        <w:rPr>
          <w:rFonts w:ascii="Arial" w:hAnsi="Arial" w:cs="Arial"/>
        </w:rPr>
        <w:t xml:space="preserve"> that are also proposing similar amendments. The proposed definition will add consistency for the various occupancies within the </w:t>
      </w:r>
      <w:proofErr w:type="spellStart"/>
      <w:r w:rsidR="00F10BEB" w:rsidRPr="00F10BEB">
        <w:rPr>
          <w:rFonts w:ascii="Arial" w:hAnsi="Arial" w:cs="Arial"/>
        </w:rPr>
        <w:t>CALGreen</w:t>
      </w:r>
      <w:proofErr w:type="spellEnd"/>
      <w:r w:rsidR="00F10BEB" w:rsidRPr="00F10BEB">
        <w:rPr>
          <w:rFonts w:ascii="Arial" w:hAnsi="Arial" w:cs="Arial"/>
        </w:rPr>
        <w:t xml:space="preserve"> code.</w:t>
      </w:r>
    </w:p>
    <w:p w14:paraId="06650785" w14:textId="77777777" w:rsidR="008D49EF" w:rsidRDefault="008D49EF">
      <w:pPr>
        <w:rPr>
          <w:rFonts w:eastAsia="Batang" w:cs="Arial"/>
          <w:b/>
          <w:szCs w:val="24"/>
        </w:rPr>
      </w:pPr>
      <w:r>
        <w:rPr>
          <w:rFonts w:eastAsia="Batang" w:cs="Arial"/>
          <w:b/>
        </w:rPr>
        <w:br w:type="page"/>
      </w:r>
    </w:p>
    <w:p w14:paraId="53871D0C" w14:textId="3A082688" w:rsidR="007B05CA" w:rsidRPr="00653370" w:rsidRDefault="0025346B" w:rsidP="00F10BEB">
      <w:pPr>
        <w:pStyle w:val="NormalWeb"/>
        <w:spacing w:before="0" w:beforeAutospacing="0" w:after="240" w:afterAutospacing="0"/>
        <w:rPr>
          <w:rFonts w:ascii="Arial" w:eastAsia="Batang" w:hAnsi="Arial" w:cs="Arial"/>
          <w:b/>
        </w:rPr>
      </w:pPr>
      <w:r w:rsidRPr="00653370">
        <w:rPr>
          <w:rFonts w:ascii="Arial" w:eastAsia="Batang" w:hAnsi="Arial" w:cs="Arial"/>
          <w:b/>
        </w:rPr>
        <w:lastRenderedPageBreak/>
        <w:t>CHAPTER</w:t>
      </w:r>
      <w:r w:rsidR="007B05CA" w:rsidRPr="00653370">
        <w:rPr>
          <w:rFonts w:ascii="Arial" w:eastAsia="Batang" w:hAnsi="Arial" w:cs="Arial"/>
          <w:b/>
        </w:rPr>
        <w:t xml:space="preserve"> </w:t>
      </w:r>
      <w:r w:rsidR="00946002">
        <w:rPr>
          <w:rFonts w:ascii="Arial" w:eastAsia="Batang" w:hAnsi="Arial" w:cs="Arial"/>
          <w:b/>
        </w:rPr>
        <w:t>2</w:t>
      </w:r>
      <w:r w:rsidR="00117448">
        <w:rPr>
          <w:rFonts w:ascii="Arial" w:eastAsia="Batang" w:hAnsi="Arial" w:cs="Arial"/>
          <w:b/>
        </w:rPr>
        <w:t>-</w:t>
      </w:r>
      <w:r w:rsidR="007B05CA" w:rsidRPr="00653370">
        <w:rPr>
          <w:rFonts w:ascii="Arial" w:eastAsia="Batang" w:hAnsi="Arial" w:cs="Arial"/>
          <w:b/>
        </w:rPr>
        <w:t>DEFINITIONS</w:t>
      </w:r>
    </w:p>
    <w:p w14:paraId="5CFEE00C" w14:textId="7A33389E" w:rsidR="0025346B" w:rsidRPr="00653370" w:rsidRDefault="0025346B" w:rsidP="0025346B">
      <w:pPr>
        <w:tabs>
          <w:tab w:val="left" w:pos="0"/>
        </w:tabs>
        <w:spacing w:before="120"/>
        <w:rPr>
          <w:rFonts w:cs="Arial"/>
          <w:b/>
          <w:iCs/>
          <w:szCs w:val="24"/>
        </w:rPr>
      </w:pPr>
      <w:r w:rsidRPr="00653370">
        <w:rPr>
          <w:rFonts w:cs="Arial"/>
          <w:b/>
          <w:iCs/>
          <w:szCs w:val="24"/>
        </w:rPr>
        <w:t xml:space="preserve">Reflecting the </w:t>
      </w:r>
      <w:r w:rsidR="00173B5E">
        <w:rPr>
          <w:rFonts w:cs="Arial"/>
          <w:b/>
          <w:iCs/>
          <w:szCs w:val="24"/>
        </w:rPr>
        <w:t xml:space="preserve">proposed </w:t>
      </w:r>
      <w:r w:rsidR="001C20FB">
        <w:rPr>
          <w:rFonts w:cs="Arial"/>
          <w:b/>
          <w:iCs/>
          <w:szCs w:val="24"/>
        </w:rPr>
        <w:t>definition</w:t>
      </w:r>
      <w:r w:rsidR="00653370" w:rsidRPr="00653370">
        <w:rPr>
          <w:rFonts w:cs="Arial"/>
          <w:b/>
          <w:iCs/>
          <w:szCs w:val="24"/>
        </w:rPr>
        <w:t xml:space="preserve"> </w:t>
      </w:r>
      <w:r w:rsidR="001C20FB">
        <w:rPr>
          <w:rFonts w:cs="Arial"/>
          <w:b/>
          <w:iCs/>
          <w:szCs w:val="24"/>
        </w:rPr>
        <w:t xml:space="preserve">post </w:t>
      </w:r>
      <w:r w:rsidR="00653370" w:rsidRPr="00653370">
        <w:rPr>
          <w:rFonts w:cs="Arial"/>
          <w:b/>
          <w:iCs/>
          <w:szCs w:val="24"/>
        </w:rPr>
        <w:t>Code Advisory Meeting</w:t>
      </w:r>
      <w:r w:rsidRPr="00653370">
        <w:rPr>
          <w:rFonts w:cs="Arial"/>
          <w:b/>
          <w:iCs/>
          <w:szCs w:val="24"/>
        </w:rPr>
        <w:t xml:space="preserve"> </w:t>
      </w:r>
      <w:r w:rsidR="00D77A82">
        <w:rPr>
          <w:rFonts w:cs="Arial"/>
          <w:b/>
          <w:iCs/>
          <w:szCs w:val="24"/>
        </w:rPr>
        <w:t>and posted during 45</w:t>
      </w:r>
      <w:r w:rsidR="00E73EAF">
        <w:rPr>
          <w:rFonts w:cs="Arial"/>
          <w:b/>
          <w:iCs/>
          <w:szCs w:val="24"/>
        </w:rPr>
        <w:t>-</w:t>
      </w:r>
      <w:r w:rsidR="00D77A82">
        <w:rPr>
          <w:rFonts w:cs="Arial"/>
          <w:b/>
          <w:iCs/>
          <w:szCs w:val="24"/>
        </w:rPr>
        <w:t xml:space="preserve">day </w:t>
      </w:r>
      <w:r w:rsidR="008755A6">
        <w:rPr>
          <w:rFonts w:cs="Arial"/>
          <w:b/>
          <w:iCs/>
          <w:szCs w:val="24"/>
        </w:rPr>
        <w:t xml:space="preserve">missing underline </w:t>
      </w:r>
    </w:p>
    <w:p w14:paraId="017245D5" w14:textId="77777777" w:rsidR="007B05CA" w:rsidRPr="00653370" w:rsidRDefault="007B05CA" w:rsidP="007B05CA">
      <w:pPr>
        <w:spacing w:before="120" w:after="120"/>
        <w:rPr>
          <w:rFonts w:eastAsia="Batang" w:cs="Arial"/>
          <w:b/>
        </w:rPr>
      </w:pPr>
      <w:r w:rsidRPr="00653370">
        <w:rPr>
          <w:rFonts w:eastAsia="Batang" w:cs="Arial"/>
          <w:b/>
        </w:rPr>
        <w:t>ELECTRIC VEHICLE (EV) CAPABLE SPACE</w:t>
      </w:r>
      <w:r w:rsidRPr="00653370">
        <w:rPr>
          <w:rFonts w:eastAsia="Batang" w:cs="Arial"/>
          <w:bCs/>
        </w:rPr>
        <w:t>.</w:t>
      </w:r>
      <w:r w:rsidRPr="00653370">
        <w:rPr>
          <w:rFonts w:eastAsia="SimSun" w:cs="Arial"/>
        </w:rPr>
        <w:t xml:space="preserve"> A vehicle space with </w:t>
      </w:r>
      <w:r w:rsidRPr="00653370">
        <w:rPr>
          <w:rFonts w:eastAsia="Batang" w:cs="Arial"/>
        </w:rPr>
        <w:t>electrical panel space and load capacity to support a branch circuit and necessary raceways, both underground and/or surface mounted, to support EV charging.</w:t>
      </w:r>
    </w:p>
    <w:p w14:paraId="31C84113" w14:textId="4D52CEEE" w:rsidR="008B6A0E" w:rsidRPr="00653370" w:rsidRDefault="007B05CA" w:rsidP="005D62B0">
      <w:pPr>
        <w:spacing w:before="240" w:after="120" w:line="240" w:lineRule="auto"/>
        <w:rPr>
          <w:rFonts w:cs="Arial"/>
          <w:b/>
        </w:rPr>
      </w:pPr>
      <w:r w:rsidRPr="00653370">
        <w:rPr>
          <w:rFonts w:eastAsia="Batang" w:cs="Arial"/>
          <w:b/>
        </w:rPr>
        <w:t xml:space="preserve">CHAPTER </w:t>
      </w:r>
      <w:r w:rsidR="00946002">
        <w:rPr>
          <w:rFonts w:eastAsia="Batang" w:cs="Arial"/>
          <w:b/>
        </w:rPr>
        <w:t>2</w:t>
      </w:r>
      <w:r w:rsidR="00117448">
        <w:rPr>
          <w:rFonts w:eastAsia="Batang" w:cs="Arial"/>
          <w:b/>
        </w:rPr>
        <w:t>-</w:t>
      </w:r>
      <w:r w:rsidRPr="00653370">
        <w:rPr>
          <w:rFonts w:eastAsia="Batang" w:cs="Arial"/>
          <w:b/>
        </w:rPr>
        <w:t>DEFINITIONS</w:t>
      </w:r>
    </w:p>
    <w:p w14:paraId="0A9CFE9A" w14:textId="538F269E" w:rsidR="005D62B0" w:rsidRPr="00653370" w:rsidRDefault="0025346B" w:rsidP="005D62B0">
      <w:pPr>
        <w:tabs>
          <w:tab w:val="left" w:pos="0"/>
        </w:tabs>
        <w:spacing w:before="120"/>
        <w:rPr>
          <w:rFonts w:cs="Arial"/>
          <w:b/>
          <w:iCs/>
          <w:szCs w:val="24"/>
        </w:rPr>
      </w:pPr>
      <w:r w:rsidRPr="00653370">
        <w:rPr>
          <w:rFonts w:cs="Arial"/>
          <w:b/>
          <w:iCs/>
          <w:szCs w:val="24"/>
        </w:rPr>
        <w:t>R</w:t>
      </w:r>
      <w:r w:rsidR="00291413" w:rsidRPr="00653370">
        <w:rPr>
          <w:rFonts w:cs="Arial"/>
          <w:b/>
          <w:iCs/>
          <w:szCs w:val="24"/>
        </w:rPr>
        <w:t xml:space="preserve">eflecting the </w:t>
      </w:r>
      <w:r w:rsidR="001C20FB">
        <w:rPr>
          <w:rFonts w:cs="Arial"/>
          <w:b/>
          <w:iCs/>
          <w:szCs w:val="24"/>
        </w:rPr>
        <w:t>proposed definition</w:t>
      </w:r>
      <w:r w:rsidR="00291413" w:rsidRPr="00653370">
        <w:rPr>
          <w:rFonts w:cs="Arial"/>
          <w:b/>
          <w:iCs/>
          <w:szCs w:val="24"/>
        </w:rPr>
        <w:t xml:space="preserve"> </w:t>
      </w:r>
      <w:r w:rsidR="00653370" w:rsidRPr="00653370">
        <w:rPr>
          <w:rFonts w:cs="Arial"/>
          <w:b/>
          <w:iCs/>
          <w:szCs w:val="24"/>
        </w:rPr>
        <w:t xml:space="preserve">for the Final Express Terms </w:t>
      </w:r>
      <w:r w:rsidR="00D77A82">
        <w:rPr>
          <w:rFonts w:cs="Arial"/>
          <w:b/>
          <w:iCs/>
          <w:szCs w:val="24"/>
        </w:rPr>
        <w:t xml:space="preserve">with added underline </w:t>
      </w:r>
    </w:p>
    <w:p w14:paraId="43E00DB9" w14:textId="69932B1D" w:rsidR="005D62B0" w:rsidRPr="00B22853" w:rsidRDefault="009E470D" w:rsidP="00B22853">
      <w:pPr>
        <w:spacing w:before="120" w:after="120"/>
        <w:rPr>
          <w:rFonts w:eastAsia="Batang" w:cs="Arial"/>
          <w:b/>
          <w:u w:val="double"/>
        </w:rPr>
      </w:pPr>
      <w:r w:rsidRPr="00946002">
        <w:rPr>
          <w:rFonts w:eastAsia="Batang" w:cs="Arial"/>
          <w:b/>
          <w:u w:val="single"/>
        </w:rPr>
        <w:t>ELECTRIC VEHICLE (EV) CAPABLE SPACE</w:t>
      </w:r>
      <w:r w:rsidRPr="00946002">
        <w:rPr>
          <w:rFonts w:eastAsia="Batang" w:cs="Arial"/>
          <w:bCs/>
          <w:u w:val="single"/>
        </w:rPr>
        <w:t>.</w:t>
      </w:r>
      <w:r w:rsidRPr="00946002">
        <w:rPr>
          <w:rFonts w:eastAsia="SimSun" w:cs="Arial"/>
          <w:u w:val="single"/>
        </w:rPr>
        <w:t xml:space="preserve"> A vehicle space with </w:t>
      </w:r>
      <w:r w:rsidRPr="00946002">
        <w:rPr>
          <w:rFonts w:eastAsia="Batang" w:cs="Arial"/>
          <w:u w:val="single"/>
        </w:rPr>
        <w:t>electrical panel space and load capacity to support a branch circuit and necessary raceways, both underground and/or surface mounted, to support EV charging.</w:t>
      </w:r>
    </w:p>
    <w:sectPr w:rsidR="005D62B0" w:rsidRPr="00B228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FDC0" w14:textId="77777777" w:rsidR="002F4F35" w:rsidRDefault="002F4F35" w:rsidP="002F4F35">
      <w:pPr>
        <w:spacing w:after="0" w:line="240" w:lineRule="auto"/>
      </w:pPr>
      <w:r>
        <w:separator/>
      </w:r>
    </w:p>
  </w:endnote>
  <w:endnote w:type="continuationSeparator" w:id="0">
    <w:p w14:paraId="5A3E2346" w14:textId="77777777" w:rsidR="002F4F35" w:rsidRDefault="002F4F35" w:rsidP="002F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2443" w14:textId="62A6C1B4" w:rsidR="002F4F35" w:rsidRPr="002F4F35" w:rsidRDefault="002F4F35">
    <w:pPr>
      <w:pStyle w:val="Footer"/>
      <w:rPr>
        <w:sz w:val="20"/>
        <w:szCs w:val="20"/>
      </w:rPr>
    </w:pPr>
    <w:r w:rsidRPr="002F4F35">
      <w:rPr>
        <w:sz w:val="20"/>
        <w:szCs w:val="20"/>
      </w:rPr>
      <w:t>BSC-03-21-FET-Pt11-Add#1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E0B06" w14:textId="77777777" w:rsidR="002F4F35" w:rsidRDefault="002F4F35" w:rsidP="002F4F35">
      <w:pPr>
        <w:spacing w:after="0" w:line="240" w:lineRule="auto"/>
      </w:pPr>
      <w:r>
        <w:separator/>
      </w:r>
    </w:p>
  </w:footnote>
  <w:footnote w:type="continuationSeparator" w:id="0">
    <w:p w14:paraId="6554688A" w14:textId="77777777" w:rsidR="002F4F35" w:rsidRDefault="002F4F35" w:rsidP="002F4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0E"/>
    <w:rsid w:val="00031F7C"/>
    <w:rsid w:val="0006775D"/>
    <w:rsid w:val="00117448"/>
    <w:rsid w:val="00173B5E"/>
    <w:rsid w:val="001B3488"/>
    <w:rsid w:val="001C20FB"/>
    <w:rsid w:val="0025346B"/>
    <w:rsid w:val="00291413"/>
    <w:rsid w:val="002F4F35"/>
    <w:rsid w:val="003B3C6F"/>
    <w:rsid w:val="004A30F5"/>
    <w:rsid w:val="004B4A70"/>
    <w:rsid w:val="00510C3D"/>
    <w:rsid w:val="005940B2"/>
    <w:rsid w:val="005D62B0"/>
    <w:rsid w:val="005F0176"/>
    <w:rsid w:val="00653370"/>
    <w:rsid w:val="00751677"/>
    <w:rsid w:val="007B05CA"/>
    <w:rsid w:val="007E6F28"/>
    <w:rsid w:val="008755A6"/>
    <w:rsid w:val="00885E3F"/>
    <w:rsid w:val="008A795D"/>
    <w:rsid w:val="008B6A0E"/>
    <w:rsid w:val="008C14C9"/>
    <w:rsid w:val="008D49EF"/>
    <w:rsid w:val="008E36A2"/>
    <w:rsid w:val="00946002"/>
    <w:rsid w:val="009E470D"/>
    <w:rsid w:val="009F463A"/>
    <w:rsid w:val="00A13C07"/>
    <w:rsid w:val="00A36B24"/>
    <w:rsid w:val="00AC1965"/>
    <w:rsid w:val="00AD02A8"/>
    <w:rsid w:val="00B22853"/>
    <w:rsid w:val="00B55F86"/>
    <w:rsid w:val="00B81FDB"/>
    <w:rsid w:val="00BA2CC5"/>
    <w:rsid w:val="00BB07AF"/>
    <w:rsid w:val="00BC1058"/>
    <w:rsid w:val="00C111EF"/>
    <w:rsid w:val="00C26CED"/>
    <w:rsid w:val="00C414A1"/>
    <w:rsid w:val="00C62294"/>
    <w:rsid w:val="00CD6F6D"/>
    <w:rsid w:val="00CF7E46"/>
    <w:rsid w:val="00D30EE9"/>
    <w:rsid w:val="00D32808"/>
    <w:rsid w:val="00D3397F"/>
    <w:rsid w:val="00D77A82"/>
    <w:rsid w:val="00DA56B3"/>
    <w:rsid w:val="00DE5489"/>
    <w:rsid w:val="00DE6D95"/>
    <w:rsid w:val="00E73EAF"/>
    <w:rsid w:val="00EC6FC0"/>
    <w:rsid w:val="00F10BEB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2F2E"/>
  <w15:chartTrackingRefBased/>
  <w15:docId w15:val="{4D2BD07D-3891-44E0-9E7E-1E5C8C5A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0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6A0E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6A0E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A0E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6A0E"/>
    <w:rPr>
      <w:rFonts w:ascii="Arial" w:eastAsiaTheme="majorEastAsia" w:hAnsi="Arial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rsid w:val="005D62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6A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6A2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D77A82"/>
    <w:pPr>
      <w:widowControl w:val="0"/>
      <w:spacing w:after="0" w:line="240" w:lineRule="auto"/>
      <w:ind w:left="720"/>
      <w:contextualSpacing/>
    </w:pPr>
    <w:rPr>
      <w:rFonts w:ascii="Helvetica" w:eastAsia="Batang" w:hAnsi="Helvetica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F3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F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 01/19 ADDENDUM to FET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BSC-03-21-FET-Pt11-Add#1</dc:title>
  <dc:subject/>
  <dc:creator>DaRosa, Karla@HCD</dc:creator>
  <cp:keywords/>
  <dc:description/>
  <cp:lastModifiedBy>Rodriguez, Enrique (CBSC)@DGS</cp:lastModifiedBy>
  <cp:revision>27</cp:revision>
  <cp:lastPrinted>2021-12-08T19:17:00Z</cp:lastPrinted>
  <dcterms:created xsi:type="dcterms:W3CDTF">2021-12-06T22:47:00Z</dcterms:created>
  <dcterms:modified xsi:type="dcterms:W3CDTF">2021-12-20T18:44:00Z</dcterms:modified>
</cp:coreProperties>
</file>