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55E81" w14:textId="77777777" w:rsidR="002258CB" w:rsidRDefault="00F6069A" w:rsidP="00F6069A">
      <w:pPr>
        <w:pStyle w:val="Title"/>
      </w:pPr>
      <w:r>
        <w:t xml:space="preserve">ADDENDUM </w:t>
      </w:r>
    </w:p>
    <w:p w14:paraId="01AB2288" w14:textId="0CE6B9DF" w:rsidR="00F6069A" w:rsidRDefault="00F6069A" w:rsidP="00F6069A">
      <w:pPr>
        <w:pStyle w:val="Title"/>
      </w:pPr>
      <w:r>
        <w:t>TO</w:t>
      </w:r>
    </w:p>
    <w:p w14:paraId="1D587FBE" w14:textId="77777777" w:rsidR="00F6069A" w:rsidRDefault="00F6069A" w:rsidP="00F6069A">
      <w:pPr>
        <w:pStyle w:val="Title"/>
      </w:pPr>
      <w:r>
        <w:t>I</w:t>
      </w:r>
      <w:r w:rsidRPr="009B40E8">
        <w:t xml:space="preserve">NITIAL </w:t>
      </w:r>
      <w:r w:rsidRPr="00F6069A">
        <w:t>EXPRESS TERMS</w:t>
      </w:r>
      <w:r>
        <w:t xml:space="preserve"> (IET)</w:t>
      </w:r>
    </w:p>
    <w:p w14:paraId="672968AD" w14:textId="77777777" w:rsidR="00F6069A" w:rsidRDefault="00F6069A" w:rsidP="00F6069A">
      <w:pPr>
        <w:pStyle w:val="Title"/>
      </w:pPr>
      <w:r>
        <w:t>AND</w:t>
      </w:r>
    </w:p>
    <w:p w14:paraId="3AA19EB9" w14:textId="666CD8C0" w:rsidR="008714C7" w:rsidRDefault="00A23DA3" w:rsidP="00F6069A">
      <w:pPr>
        <w:pStyle w:val="Title"/>
        <w:rPr>
          <w:noProof/>
        </w:rPr>
      </w:pPr>
      <w:r w:rsidRPr="009B40E8">
        <w:t>INITIAL STATEMENT OF REASONS</w:t>
      </w:r>
      <w:r w:rsidR="00F6069A">
        <w:t xml:space="preserve"> (ISOR)</w:t>
      </w:r>
      <w:r w:rsidR="009B40E8" w:rsidRPr="009B40E8">
        <w:br/>
      </w:r>
      <w:r w:rsidRPr="009B40E8">
        <w:t>FOR</w:t>
      </w:r>
      <w:r w:rsidR="00154D19" w:rsidRPr="009B40E8">
        <w:t xml:space="preserve"> </w:t>
      </w:r>
      <w:r w:rsidRPr="009B40E8">
        <w:t>PROPOSED BUILDING STANDARDS</w:t>
      </w:r>
      <w:r w:rsidR="00194C5C">
        <w:br/>
      </w:r>
      <w:r w:rsidRPr="009B40E8">
        <w:t>OF THE</w:t>
      </w:r>
      <w:r w:rsidR="00154D19" w:rsidRPr="009B40E8">
        <w:t xml:space="preserve"> </w:t>
      </w:r>
      <w:r w:rsidR="00BB1353" w:rsidRPr="00B76C59">
        <w:t>DEPARTMENT OF WATER RESOURCES</w:t>
      </w:r>
      <w:r w:rsidR="00BB1353" w:rsidRPr="00B76C59">
        <w:br/>
        <w:t xml:space="preserve">REGARDING THE </w:t>
      </w:r>
      <w:r w:rsidR="008B5688">
        <w:t>2022</w:t>
      </w:r>
      <w:r w:rsidR="00BB1353" w:rsidRPr="00B76C59">
        <w:t xml:space="preserve"> </w:t>
      </w:r>
      <w:bookmarkStart w:id="0" w:name="_Hlk524429814"/>
      <w:r w:rsidR="00BB1353" w:rsidRPr="00B76C59">
        <w:t>CALIFORNIA PLUMBING CODE</w:t>
      </w:r>
      <w:bookmarkEnd w:id="0"/>
      <w:r w:rsidR="00BB1353" w:rsidRPr="00B76C59">
        <w:t>,</w:t>
      </w:r>
      <w:r w:rsidR="00BB1353" w:rsidRPr="00B76C59">
        <w:br/>
        <w:t>CALIFORNIA CODE OF REGULATIONS, TITLE 24, PART 5</w:t>
      </w:r>
    </w:p>
    <w:p w14:paraId="6552EBEF" w14:textId="2E610E08" w:rsidR="00A23DA3" w:rsidRPr="009B40E8" w:rsidRDefault="008714C7" w:rsidP="008714C7">
      <w:pPr>
        <w:pStyle w:val="Heading1"/>
        <w:spacing w:before="120" w:after="120"/>
        <w:jc w:val="center"/>
      </w:pPr>
      <w:r w:rsidRPr="006646DE">
        <w:t>(</w:t>
      </w:r>
      <w:r w:rsidR="00BB1353" w:rsidRPr="00DB30E2">
        <w:t>DWR 01/</w:t>
      </w:r>
      <w:r w:rsidR="002258CB">
        <w:t>21</w:t>
      </w:r>
      <w:r>
        <w:t>)</w:t>
      </w:r>
    </w:p>
    <w:p w14:paraId="7105B8F7" w14:textId="4F71E442" w:rsidR="002258CB" w:rsidRDefault="002258CB" w:rsidP="002258CB">
      <w:pPr>
        <w:rPr>
          <w:rFonts w:ascii="Arial" w:hAnsi="Arial" w:cs="Arial"/>
        </w:rPr>
      </w:pPr>
      <w:r>
        <w:rPr>
          <w:rFonts w:ascii="Arial" w:hAnsi="Arial" w:cs="Arial"/>
        </w:rPr>
        <w:t xml:space="preserve">The majority of amendments </w:t>
      </w:r>
      <w:r w:rsidR="00F6069A" w:rsidRPr="00F6069A">
        <w:rPr>
          <w:rFonts w:ascii="Arial" w:hAnsi="Arial" w:cs="Arial"/>
        </w:rPr>
        <w:t xml:space="preserve">proposed by DWR are contained in the </w:t>
      </w:r>
      <w:r w:rsidR="00F6069A">
        <w:rPr>
          <w:rFonts w:ascii="Arial" w:hAnsi="Arial" w:cs="Arial"/>
        </w:rPr>
        <w:t>I</w:t>
      </w:r>
      <w:r w:rsidR="00F6069A" w:rsidRPr="00F6069A">
        <w:rPr>
          <w:rFonts w:ascii="Arial" w:hAnsi="Arial" w:cs="Arial"/>
        </w:rPr>
        <w:t xml:space="preserve">ET and </w:t>
      </w:r>
      <w:r w:rsidR="00F6069A">
        <w:rPr>
          <w:rFonts w:ascii="Arial" w:hAnsi="Arial" w:cs="Arial"/>
        </w:rPr>
        <w:t>I</w:t>
      </w:r>
      <w:r w:rsidR="00F6069A" w:rsidRPr="00F6069A">
        <w:rPr>
          <w:rFonts w:ascii="Arial" w:hAnsi="Arial" w:cs="Arial"/>
        </w:rPr>
        <w:t xml:space="preserve">SOR that were submitted to the California Building Standards Commission (CBSC) on </w:t>
      </w:r>
    </w:p>
    <w:p w14:paraId="393209AA" w14:textId="0EFBE826" w:rsidR="00370DD3" w:rsidRDefault="002258CB" w:rsidP="002258CB">
      <w:pPr>
        <w:rPr>
          <w:rFonts w:ascii="Arial" w:hAnsi="Arial" w:cs="Arial"/>
        </w:rPr>
      </w:pPr>
      <w:r>
        <w:rPr>
          <w:rFonts w:ascii="Arial" w:hAnsi="Arial" w:cs="Arial"/>
        </w:rPr>
        <w:t>February 1, 2021</w:t>
      </w:r>
      <w:r w:rsidR="00F6069A" w:rsidRPr="00F6069A">
        <w:rPr>
          <w:rFonts w:ascii="Arial" w:hAnsi="Arial" w:cs="Arial"/>
        </w:rPr>
        <w:t xml:space="preserve">.  Subsequently, additional changes </w:t>
      </w:r>
      <w:r w:rsidR="00370DD3">
        <w:rPr>
          <w:rFonts w:ascii="Arial" w:hAnsi="Arial" w:cs="Arial"/>
        </w:rPr>
        <w:t>a</w:t>
      </w:r>
      <w:r w:rsidR="00F6069A" w:rsidRPr="00F6069A">
        <w:rPr>
          <w:rFonts w:ascii="Arial" w:hAnsi="Arial" w:cs="Arial"/>
        </w:rPr>
        <w:t xml:space="preserve">re </w:t>
      </w:r>
      <w:r w:rsidR="00370DD3">
        <w:rPr>
          <w:rFonts w:ascii="Arial" w:hAnsi="Arial" w:cs="Arial"/>
        </w:rPr>
        <w:t xml:space="preserve">being </w:t>
      </w:r>
      <w:r w:rsidR="00F6069A" w:rsidRPr="00F6069A">
        <w:rPr>
          <w:rFonts w:ascii="Arial" w:hAnsi="Arial" w:cs="Arial"/>
        </w:rPr>
        <w:t xml:space="preserve">proposed with their rationale in </w:t>
      </w:r>
      <w:r w:rsidR="00370DD3">
        <w:rPr>
          <w:rFonts w:ascii="Arial" w:hAnsi="Arial" w:cs="Arial"/>
        </w:rPr>
        <w:t>this Addendum</w:t>
      </w:r>
      <w:r w:rsidR="00F6069A" w:rsidRPr="00F6069A">
        <w:rPr>
          <w:rFonts w:ascii="Arial" w:hAnsi="Arial" w:cs="Arial"/>
        </w:rPr>
        <w:t xml:space="preserve">.  </w:t>
      </w:r>
    </w:p>
    <w:p w14:paraId="4FA9906E" w14:textId="5D67B8AB" w:rsidR="00370DD3" w:rsidRDefault="00370DD3" w:rsidP="00227BC7">
      <w:pPr>
        <w:spacing w:before="120"/>
        <w:rPr>
          <w:rFonts w:ascii="Arial" w:hAnsi="Arial" w:cs="Arial"/>
        </w:rPr>
      </w:pPr>
      <w:r>
        <w:rPr>
          <w:rFonts w:ascii="Arial" w:hAnsi="Arial" w:cs="Arial"/>
        </w:rPr>
        <w:t xml:space="preserve">DWR is proposing to </w:t>
      </w:r>
      <w:r w:rsidR="002258CB">
        <w:rPr>
          <w:rFonts w:ascii="Arial" w:hAnsi="Arial" w:cs="Arial"/>
        </w:rPr>
        <w:t xml:space="preserve">further revise its amendments to California Plumbing Code Section 1602.4 Exception 1. The language proposed in this Addendum </w:t>
      </w:r>
      <w:r w:rsidR="00227BC7">
        <w:rPr>
          <w:rFonts w:ascii="Arial" w:hAnsi="Arial" w:cs="Arial"/>
        </w:rPr>
        <w:t xml:space="preserve">supersedes </w:t>
      </w:r>
      <w:r>
        <w:rPr>
          <w:rFonts w:ascii="Arial" w:hAnsi="Arial" w:cs="Arial"/>
        </w:rPr>
        <w:t>the language submitted in the IET</w:t>
      </w:r>
      <w:r w:rsidR="00924AA5">
        <w:rPr>
          <w:rFonts w:ascii="Arial" w:hAnsi="Arial" w:cs="Arial"/>
        </w:rPr>
        <w:t xml:space="preserve"> as well as the ISOR rationale</w:t>
      </w:r>
      <w:r w:rsidR="00227BC7">
        <w:rPr>
          <w:rFonts w:ascii="Arial" w:hAnsi="Arial" w:cs="Arial"/>
        </w:rPr>
        <w:t xml:space="preserve"> language</w:t>
      </w:r>
      <w:r w:rsidR="00924AA5">
        <w:rPr>
          <w:rFonts w:ascii="Arial" w:hAnsi="Arial" w:cs="Arial"/>
        </w:rPr>
        <w:t>.</w:t>
      </w:r>
    </w:p>
    <w:p w14:paraId="6F245C9A" w14:textId="77777777" w:rsidR="002258CB" w:rsidRDefault="002258CB" w:rsidP="00227BC7">
      <w:pPr>
        <w:spacing w:before="120"/>
        <w:rPr>
          <w:rFonts w:ascii="Arial" w:hAnsi="Arial" w:cs="Arial"/>
        </w:rPr>
      </w:pPr>
    </w:p>
    <w:p w14:paraId="4644F1BF" w14:textId="5C68635D" w:rsidR="0034300B" w:rsidRPr="000E3954" w:rsidRDefault="0034300B" w:rsidP="0034300B">
      <w:pPr>
        <w:pStyle w:val="Heading1"/>
        <w:spacing w:before="60"/>
        <w:rPr>
          <w:rFonts w:cs="Arial"/>
        </w:rPr>
      </w:pPr>
      <w:r w:rsidRPr="000E3954">
        <w:rPr>
          <w:rFonts w:cs="Arial"/>
        </w:rPr>
        <w:t>Chapter 16 - NONPOTABLE RAINWATER CATCHMENT SYSTEMS, Section 1602.4</w:t>
      </w:r>
    </w:p>
    <w:p w14:paraId="5DFB1177" w14:textId="77777777" w:rsidR="0034300B" w:rsidRPr="000E3954" w:rsidRDefault="0034300B" w:rsidP="0034300B">
      <w:pPr>
        <w:spacing w:after="240"/>
        <w:rPr>
          <w:b/>
          <w:noProof/>
        </w:rPr>
      </w:pPr>
      <w:r w:rsidRPr="000E3954">
        <w:rPr>
          <w:noProof/>
        </w:rPr>
        <w:t>DWR proposes to adopt the following section in Chapter 16 of the 2021 UPC with amendments as follows:</w:t>
      </w:r>
    </w:p>
    <w:p w14:paraId="03D9DD59" w14:textId="1319DA94" w:rsidR="0034300B" w:rsidRPr="00B67D63" w:rsidRDefault="0034300B" w:rsidP="0034300B">
      <w:pPr>
        <w:rPr>
          <w:rFonts w:ascii="Arial" w:eastAsia="Arial" w:hAnsi="Arial" w:cs="Arial"/>
          <w:b/>
          <w:bCs/>
          <w:szCs w:val="24"/>
        </w:rPr>
      </w:pPr>
      <w:bookmarkStart w:id="1" w:name="_Hlk59184569"/>
      <w:bookmarkStart w:id="2" w:name="_Hlk59184543"/>
      <w:bookmarkEnd w:id="1"/>
      <w:bookmarkEnd w:id="2"/>
      <w:r w:rsidRPr="00B67D63">
        <w:rPr>
          <w:rFonts w:ascii="Arial" w:eastAsia="Arial" w:hAnsi="Arial" w:cs="Arial"/>
          <w:b/>
          <w:bCs/>
          <w:szCs w:val="24"/>
        </w:rPr>
        <w:t>Section 1602.</w:t>
      </w:r>
      <w:r w:rsidRPr="00504C53">
        <w:rPr>
          <w:rFonts w:ascii="Arial" w:eastAsia="Arial" w:hAnsi="Arial" w:cs="Arial"/>
          <w:b/>
          <w:bCs/>
          <w:szCs w:val="24"/>
        </w:rPr>
        <w:t xml:space="preserve">4 </w:t>
      </w:r>
      <w:r w:rsidRPr="00504C53">
        <w:rPr>
          <w:rFonts w:eastAsia="Arial"/>
          <w:b/>
          <w:bCs/>
          <w:szCs w:val="24"/>
        </w:rPr>
        <w:t>Connections</w:t>
      </w:r>
      <w:r w:rsidRPr="00504C53">
        <w:rPr>
          <w:rFonts w:ascii="Arial" w:eastAsia="Arial" w:hAnsi="Arial" w:cs="Arial"/>
          <w:b/>
          <w:bCs/>
          <w:szCs w:val="24"/>
        </w:rPr>
        <w:t xml:space="preserve"> to</w:t>
      </w:r>
      <w:r w:rsidRPr="00B67D63">
        <w:rPr>
          <w:rFonts w:ascii="Arial" w:eastAsia="Arial" w:hAnsi="Arial" w:cs="Arial"/>
          <w:b/>
          <w:bCs/>
          <w:szCs w:val="24"/>
        </w:rPr>
        <w:t xml:space="preserve"> Potable or Reclaimed (Recycled) Water Systems.</w:t>
      </w:r>
    </w:p>
    <w:p w14:paraId="580D4E03" w14:textId="288DF624" w:rsidR="0034300B" w:rsidRDefault="0034300B" w:rsidP="00BA1C11">
      <w:pPr>
        <w:spacing w:after="240"/>
        <w:rPr>
          <w:rFonts w:ascii="Arial" w:hAnsi="Arial" w:cs="Arial"/>
        </w:rPr>
      </w:pPr>
      <w:r w:rsidRPr="000E3954">
        <w:rPr>
          <w:rFonts w:ascii="Arial" w:hAnsi="Arial" w:cs="Arial"/>
        </w:rPr>
        <w:t>Rainwater catchment systems shall have no direct connection to a potable water supply or alternate water source system.</w:t>
      </w:r>
    </w:p>
    <w:p w14:paraId="64C99CBE" w14:textId="77777777" w:rsidR="00BA1C11" w:rsidRPr="00BA1C11" w:rsidRDefault="00BA1C11" w:rsidP="00BA1C11">
      <w:pPr>
        <w:rPr>
          <w:rFonts w:ascii="Arial" w:hAnsi="Arial" w:cs="Arial"/>
          <w:b/>
          <w:bCs/>
          <w:i/>
          <w:iCs/>
          <w:u w:val="single"/>
        </w:rPr>
      </w:pPr>
      <w:r w:rsidRPr="00BA1C11">
        <w:rPr>
          <w:rFonts w:ascii="Arial" w:hAnsi="Arial" w:cs="Arial"/>
          <w:b/>
          <w:bCs/>
          <w:i/>
          <w:iCs/>
          <w:u w:val="single"/>
        </w:rPr>
        <w:t xml:space="preserve">Exceptions: </w:t>
      </w:r>
    </w:p>
    <w:p w14:paraId="258F0EF9" w14:textId="09C29947" w:rsidR="00BA1C11" w:rsidRPr="00BA1C11" w:rsidRDefault="00BA1C11" w:rsidP="00BA1C11">
      <w:pPr>
        <w:numPr>
          <w:ilvl w:val="0"/>
          <w:numId w:val="5"/>
        </w:numPr>
        <w:rPr>
          <w:rFonts w:ascii="Arial" w:hAnsi="Arial" w:cs="Arial"/>
        </w:rPr>
      </w:pPr>
      <w:r w:rsidRPr="00BA1C11">
        <w:rPr>
          <w:rFonts w:ascii="Arial" w:hAnsi="Arial" w:cs="Arial"/>
        </w:rPr>
        <w:t>Potable</w:t>
      </w:r>
      <w:r w:rsidRPr="00BA1C11">
        <w:rPr>
          <w:rFonts w:ascii="Arial" w:hAnsi="Arial" w:cs="Arial"/>
          <w:i/>
          <w:iCs/>
        </w:rPr>
        <w:t xml:space="preserve"> </w:t>
      </w:r>
      <w:r w:rsidRPr="00BA1C11">
        <w:rPr>
          <w:rFonts w:ascii="Arial" w:hAnsi="Arial" w:cs="Arial"/>
          <w:i/>
          <w:iCs/>
          <w:u w:val="single"/>
        </w:rPr>
        <w:t>water, on site treated nonpotable gray water,</w:t>
      </w:r>
      <w:r w:rsidRPr="00BA1C11">
        <w:rPr>
          <w:rFonts w:ascii="Arial" w:hAnsi="Arial" w:cs="Arial"/>
          <w:i/>
          <w:iCs/>
        </w:rPr>
        <w:t xml:space="preserve"> or </w:t>
      </w:r>
      <w:r w:rsidRPr="00BA1C11">
        <w:rPr>
          <w:rFonts w:ascii="Arial" w:hAnsi="Arial" w:cs="Arial"/>
        </w:rPr>
        <w:t>reclaimed (recycled) water is permitted to be used as makeup water for a rainwater catchment system provided the</w:t>
      </w:r>
      <w:r>
        <w:rPr>
          <w:rFonts w:ascii="Arial" w:hAnsi="Arial" w:cs="Arial"/>
        </w:rPr>
        <w:t xml:space="preserve"> (begin double strike</w:t>
      </w:r>
      <w:r w:rsidR="00E330A0">
        <w:rPr>
          <w:rFonts w:ascii="Arial" w:hAnsi="Arial" w:cs="Arial"/>
        </w:rPr>
        <w:t>out</w:t>
      </w:r>
      <w:r>
        <w:rPr>
          <w:rFonts w:ascii="Arial" w:hAnsi="Arial" w:cs="Arial"/>
        </w:rPr>
        <w:t>)</w:t>
      </w:r>
      <w:r w:rsidRPr="00BA1C11">
        <w:rPr>
          <w:rFonts w:ascii="Arial" w:hAnsi="Arial" w:cs="Arial"/>
        </w:rPr>
        <w:t xml:space="preserve"> </w:t>
      </w:r>
      <w:r w:rsidRPr="00BA1C11">
        <w:rPr>
          <w:rFonts w:ascii="Arial" w:hAnsi="Arial" w:cs="Arial"/>
          <w:i/>
          <w:iCs/>
          <w:dstrike/>
          <w:u w:val="single"/>
          <w:lang w:val="en-CA"/>
        </w:rPr>
        <w:t>makeup water supply inlet</w:t>
      </w:r>
      <w:r w:rsidRPr="00BA1C11">
        <w:rPr>
          <w:rFonts w:ascii="Arial" w:hAnsi="Arial" w:cs="Arial"/>
          <w:lang w:val="en-CA"/>
        </w:rPr>
        <w:t xml:space="preserve"> </w:t>
      </w:r>
      <w:r>
        <w:rPr>
          <w:rFonts w:ascii="Arial" w:hAnsi="Arial" w:cs="Arial"/>
          <w:lang w:val="en-CA"/>
        </w:rPr>
        <w:t>(end double strike</w:t>
      </w:r>
      <w:r w:rsidR="00E330A0">
        <w:rPr>
          <w:rFonts w:ascii="Arial" w:hAnsi="Arial" w:cs="Arial"/>
          <w:lang w:val="en-CA"/>
        </w:rPr>
        <w:t>out</w:t>
      </w:r>
      <w:bookmarkStart w:id="3" w:name="_GoBack"/>
      <w:bookmarkEnd w:id="3"/>
      <w:r>
        <w:rPr>
          <w:rFonts w:ascii="Arial" w:hAnsi="Arial" w:cs="Arial"/>
          <w:lang w:val="en-CA"/>
        </w:rPr>
        <w:t>)</w:t>
      </w:r>
      <w:r w:rsidRPr="00BA1C11">
        <w:rPr>
          <w:rFonts w:ascii="Arial" w:hAnsi="Arial" w:cs="Arial"/>
          <w:lang w:val="en-CA"/>
        </w:rPr>
        <w:t xml:space="preserve"> </w:t>
      </w:r>
      <w:r w:rsidRPr="00BA1C11">
        <w:rPr>
          <w:rFonts w:ascii="Arial" w:hAnsi="Arial" w:cs="Arial"/>
          <w:strike/>
        </w:rPr>
        <w:t>potable or reclaimed (recycled) water supply</w:t>
      </w:r>
      <w:r w:rsidRPr="00BA1C11">
        <w:rPr>
          <w:rFonts w:ascii="Arial" w:hAnsi="Arial" w:cs="Arial"/>
        </w:rPr>
        <w:t xml:space="preserve"> connection is protected by an air gap </w:t>
      </w:r>
      <w:r w:rsidRPr="00BA1C11">
        <w:rPr>
          <w:rFonts w:ascii="Arial" w:hAnsi="Arial" w:cs="Arial"/>
          <w:strike/>
        </w:rPr>
        <w:t>or reduced-pressure principle backflow preventer</w:t>
      </w:r>
      <w:r w:rsidRPr="00BA1C11">
        <w:rPr>
          <w:rFonts w:ascii="Arial" w:hAnsi="Arial" w:cs="Arial"/>
        </w:rPr>
        <w:t xml:space="preserve"> in accordance with this code.</w:t>
      </w:r>
    </w:p>
    <w:p w14:paraId="7C3E3A26" w14:textId="77777777" w:rsidR="00BA1C11" w:rsidRPr="00BA1C11" w:rsidRDefault="00BA1C11" w:rsidP="00BA1C11">
      <w:pPr>
        <w:numPr>
          <w:ilvl w:val="0"/>
          <w:numId w:val="5"/>
        </w:numPr>
        <w:rPr>
          <w:rFonts w:ascii="Arial" w:hAnsi="Arial" w:cs="Arial"/>
          <w:u w:val="single"/>
        </w:rPr>
      </w:pPr>
      <w:r w:rsidRPr="00BA1C11">
        <w:rPr>
          <w:rFonts w:ascii="Arial" w:hAnsi="Arial" w:cs="Arial"/>
          <w:i/>
          <w:iCs/>
          <w:u w:val="single"/>
        </w:rPr>
        <w:t>A potable water supply may be connected temporarily for the initial cross-connection test of the rainwater catchment system as required in Section 1605.3.2.</w:t>
      </w:r>
    </w:p>
    <w:p w14:paraId="54490D40" w14:textId="77777777" w:rsidR="00BA1C11" w:rsidRPr="000E3954" w:rsidRDefault="00BA1C11" w:rsidP="0034300B">
      <w:pPr>
        <w:rPr>
          <w:rFonts w:ascii="Arial" w:hAnsi="Arial" w:cs="Arial"/>
        </w:rPr>
      </w:pPr>
    </w:p>
    <w:p w14:paraId="68A2E8A1" w14:textId="77777777" w:rsidR="0034300B" w:rsidRPr="00646C43" w:rsidRDefault="0034300B" w:rsidP="0034300B">
      <w:pPr>
        <w:spacing w:before="120"/>
        <w:rPr>
          <w:rFonts w:ascii="Arial" w:hAnsi="Arial" w:cs="Arial"/>
          <w:b/>
          <w:szCs w:val="24"/>
        </w:rPr>
      </w:pPr>
      <w:bookmarkStart w:id="4" w:name="_Hlk56673024"/>
      <w:bookmarkStart w:id="5" w:name="_Hlk56672452"/>
      <w:bookmarkStart w:id="6" w:name="_Hlk56673083"/>
      <w:bookmarkStart w:id="7" w:name="_Hlk56674332"/>
      <w:bookmarkEnd w:id="4"/>
      <w:bookmarkEnd w:id="5"/>
      <w:bookmarkEnd w:id="6"/>
      <w:bookmarkEnd w:id="7"/>
      <w:r w:rsidRPr="000E3954">
        <w:rPr>
          <w:rFonts w:ascii="Arial" w:hAnsi="Arial" w:cs="Arial"/>
          <w:b/>
          <w:szCs w:val="24"/>
        </w:rPr>
        <w:t>Notation:</w:t>
      </w:r>
    </w:p>
    <w:p w14:paraId="4CC34493" w14:textId="77777777" w:rsidR="0034300B" w:rsidRPr="00C074AC" w:rsidRDefault="0034300B" w:rsidP="0034300B">
      <w:pPr>
        <w:spacing w:before="120" w:after="120"/>
        <w:rPr>
          <w:rFonts w:ascii="Arial" w:hAnsi="Arial" w:cs="Arial"/>
        </w:rPr>
      </w:pPr>
      <w:r w:rsidRPr="00C074AC">
        <w:rPr>
          <w:rFonts w:ascii="Arial" w:hAnsi="Arial" w:cs="Arial"/>
        </w:rPr>
        <w:t xml:space="preserve">Authority: Water Code Section: 13557. </w:t>
      </w:r>
    </w:p>
    <w:p w14:paraId="7A2A9E4E" w14:textId="77777777" w:rsidR="0034300B" w:rsidRPr="00C074AC" w:rsidRDefault="0034300B" w:rsidP="0034300B">
      <w:pPr>
        <w:spacing w:before="120" w:after="120"/>
        <w:rPr>
          <w:rFonts w:ascii="Arial" w:hAnsi="Arial" w:cs="Arial"/>
        </w:rPr>
      </w:pPr>
      <w:r w:rsidRPr="00C074AC">
        <w:rPr>
          <w:rFonts w:ascii="Arial" w:hAnsi="Arial" w:cs="Arial"/>
        </w:rPr>
        <w:t xml:space="preserve">Reference(s): Water Code Sections: 13557. </w:t>
      </w:r>
    </w:p>
    <w:p w14:paraId="2A05A62A" w14:textId="77777777" w:rsidR="0034300B" w:rsidRPr="00160E96" w:rsidRDefault="0034300B" w:rsidP="00227BC7">
      <w:pPr>
        <w:spacing w:before="120"/>
        <w:rPr>
          <w:rFonts w:ascii="Arial" w:hAnsi="Arial" w:cs="Arial"/>
        </w:rPr>
      </w:pPr>
      <w:bookmarkStart w:id="8" w:name="_Hlk20748671"/>
    </w:p>
    <w:p w14:paraId="7FC8BADF" w14:textId="77777777" w:rsidR="00924AA5" w:rsidRDefault="00924AA5" w:rsidP="007712C0">
      <w:pPr>
        <w:widowControl/>
        <w:spacing w:before="120"/>
        <w:rPr>
          <w:rFonts w:ascii="Arial" w:hAnsi="Arial"/>
          <w:szCs w:val="24"/>
        </w:rPr>
      </w:pPr>
      <w:r w:rsidRPr="00BC4F34">
        <w:rPr>
          <w:rFonts w:ascii="Arial" w:hAnsi="Arial" w:cs="Arial"/>
          <w:b/>
          <w:iCs/>
        </w:rPr>
        <w:t>Rationale</w:t>
      </w:r>
      <w:r w:rsidRPr="00924AA5">
        <w:rPr>
          <w:rFonts w:ascii="Arial" w:hAnsi="Arial" w:cs="Arial"/>
          <w:b/>
          <w:i/>
        </w:rPr>
        <w:t>:</w:t>
      </w:r>
      <w:r>
        <w:rPr>
          <w:rFonts w:ascii="Arial" w:hAnsi="Arial"/>
          <w:szCs w:val="24"/>
        </w:rPr>
        <w:t xml:space="preserve"> </w:t>
      </w:r>
    </w:p>
    <w:p w14:paraId="52B60275" w14:textId="6457FA85" w:rsidR="00227BC7" w:rsidRDefault="005D0137" w:rsidP="008B5688">
      <w:pPr>
        <w:widowControl/>
        <w:spacing w:before="120"/>
        <w:rPr>
          <w:rFonts w:ascii="Arial" w:hAnsi="Arial"/>
          <w:szCs w:val="24"/>
        </w:rPr>
      </w:pPr>
      <w:r>
        <w:rPr>
          <w:rFonts w:ascii="Arial" w:hAnsi="Arial"/>
          <w:szCs w:val="24"/>
        </w:rPr>
        <w:t>Upon further review of each of the “Connections to Potable and/or Reclaimed (Recycled) Water Systems” sections in Chapters 15 and 16 (specifically, Sections 1503.3, 1505.4, 1506.4, and 1602.4)</w:t>
      </w:r>
      <w:r w:rsidR="008B5688">
        <w:rPr>
          <w:rFonts w:ascii="Arial" w:hAnsi="Arial"/>
          <w:szCs w:val="24"/>
        </w:rPr>
        <w:t xml:space="preserve">, it appears that the language used specifying the protections for each of these types of connections to alternate water sources varies in the 2021 Uniform Plumbing Code, which necessitates further study and vetting during a future code cycle </w:t>
      </w:r>
      <w:r w:rsidR="008B5688">
        <w:rPr>
          <w:rFonts w:ascii="Arial" w:hAnsi="Arial"/>
          <w:szCs w:val="24"/>
        </w:rPr>
        <w:lastRenderedPageBreak/>
        <w:t xml:space="preserve">stakeholder workshop. As such, DWR is proposing this addendum to align with the language proposed in this exception by the California Building Standards Commission (CBSC) and the Department of Housing and Community Development (HCD), removing the phrase “makeup water supply inlet” and restoring the UPC term “connection” as shown above. DWR respectfully requests an “Approve as Amended” recommendation from the CBSC Plumbing, Electrical, Mechanical, and Energy (PEME) Code Advisory Committee for this </w:t>
      </w:r>
      <w:r w:rsidR="002258CB">
        <w:rPr>
          <w:rFonts w:ascii="Arial" w:hAnsi="Arial"/>
          <w:szCs w:val="24"/>
        </w:rPr>
        <w:t xml:space="preserve">code </w:t>
      </w:r>
      <w:r w:rsidR="008B5688">
        <w:rPr>
          <w:rFonts w:ascii="Arial" w:hAnsi="Arial"/>
          <w:szCs w:val="24"/>
        </w:rPr>
        <w:t>change, which DWR is proposing for consistency and in coordination with CBSC and HCD</w:t>
      </w:r>
      <w:r w:rsidR="001325B5">
        <w:rPr>
          <w:rFonts w:ascii="Arial" w:hAnsi="Arial"/>
          <w:szCs w:val="24"/>
        </w:rPr>
        <w:t xml:space="preserve"> with no intended change in regulatory effect. </w:t>
      </w:r>
    </w:p>
    <w:bookmarkEnd w:id="8"/>
    <w:sectPr w:rsidR="00227BC7" w:rsidSect="00B432B6">
      <w:headerReference w:type="default" r:id="rId7"/>
      <w:footerReference w:type="default" r:id="rId8"/>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04798" w14:textId="77777777" w:rsidR="00087461" w:rsidRDefault="00087461">
      <w:r>
        <w:separator/>
      </w:r>
    </w:p>
  </w:endnote>
  <w:endnote w:type="continuationSeparator" w:id="0">
    <w:p w14:paraId="421EAB71" w14:textId="77777777" w:rsidR="00087461" w:rsidRDefault="0008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Segoe Script"/>
    <w:panose1 w:val="00000000000000000000"/>
    <w:charset w:val="00"/>
    <w:family w:val="swiss"/>
    <w:notTrueType/>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76B8" w14:textId="2B5F9BC4" w:rsidR="00497978" w:rsidRPr="00B1767F" w:rsidRDefault="00835CE1" w:rsidP="00497978">
    <w:pPr>
      <w:pStyle w:val="Footer"/>
      <w:tabs>
        <w:tab w:val="clear" w:pos="4320"/>
        <w:tab w:val="clear" w:pos="8640"/>
        <w:tab w:val="right" w:pos="9540"/>
      </w:tabs>
      <w:rPr>
        <w:rFonts w:ascii="Arial" w:hAnsi="Arial" w:cs="Arial"/>
        <w:sz w:val="16"/>
      </w:rPr>
    </w:pPr>
    <w:r>
      <w:rPr>
        <w:rFonts w:ascii="Arial" w:hAnsi="Arial" w:cs="Arial"/>
        <w:sz w:val="16"/>
      </w:rPr>
      <w:t xml:space="preserve">BSC TP-106 (Rev. </w:t>
    </w:r>
    <w:r w:rsidR="00504C53">
      <w:rPr>
        <w:rFonts w:ascii="Arial" w:hAnsi="Arial" w:cs="Arial"/>
        <w:sz w:val="16"/>
      </w:rPr>
      <w:t>10/20</w:t>
    </w:r>
    <w:r w:rsidR="00497978" w:rsidRPr="00B1767F">
      <w:rPr>
        <w:rFonts w:ascii="Arial" w:hAnsi="Arial" w:cs="Arial"/>
        <w:sz w:val="16"/>
      </w:rPr>
      <w:t>)</w:t>
    </w:r>
    <w:r w:rsidR="00227BC7">
      <w:rPr>
        <w:rFonts w:ascii="Arial" w:hAnsi="Arial" w:cs="Arial"/>
        <w:sz w:val="16"/>
      </w:rPr>
      <w:t xml:space="preserve"> ADDENDUM to IET and</w:t>
    </w:r>
    <w:r w:rsidR="00497978" w:rsidRPr="00B1767F">
      <w:rPr>
        <w:rFonts w:ascii="Arial" w:hAnsi="Arial" w:cs="Arial"/>
        <w:sz w:val="16"/>
      </w:rPr>
      <w:t xml:space="preserve"> ISOR</w:t>
    </w:r>
    <w:r w:rsidR="00497978" w:rsidRPr="00B1767F">
      <w:rPr>
        <w:rFonts w:ascii="Arial" w:hAnsi="Arial" w:cs="Arial"/>
        <w:sz w:val="16"/>
      </w:rPr>
      <w:tab/>
    </w:r>
    <w:r w:rsidR="00504C53">
      <w:rPr>
        <w:rFonts w:ascii="Arial" w:hAnsi="Arial" w:cs="Arial"/>
        <w:sz w:val="16"/>
      </w:rPr>
      <w:t>March 1</w:t>
    </w:r>
    <w:r w:rsidR="007F68BD">
      <w:rPr>
        <w:rFonts w:ascii="Arial" w:hAnsi="Arial" w:cs="Arial"/>
        <w:sz w:val="16"/>
      </w:rPr>
      <w:t>8</w:t>
    </w:r>
    <w:r w:rsidR="00504C53">
      <w:rPr>
        <w:rFonts w:ascii="Arial" w:hAnsi="Arial" w:cs="Arial"/>
        <w:sz w:val="16"/>
      </w:rPr>
      <w:t>, 2021</w:t>
    </w:r>
  </w:p>
  <w:p w14:paraId="48BE3F4B" w14:textId="545D5832" w:rsidR="00497978" w:rsidRPr="00B1767F" w:rsidRDefault="00BB1353" w:rsidP="00497978">
    <w:pPr>
      <w:pStyle w:val="Footer"/>
      <w:tabs>
        <w:tab w:val="clear" w:pos="4320"/>
        <w:tab w:val="clear" w:pos="8640"/>
        <w:tab w:val="center" w:pos="5040"/>
        <w:tab w:val="right" w:pos="9540"/>
      </w:tabs>
      <w:rPr>
        <w:rFonts w:ascii="Arial" w:hAnsi="Arial" w:cs="Arial"/>
        <w:sz w:val="16"/>
      </w:rPr>
    </w:pPr>
    <w:r>
      <w:rPr>
        <w:rFonts w:ascii="Arial" w:hAnsi="Arial" w:cs="Arial"/>
        <w:sz w:val="16"/>
        <w:szCs w:val="16"/>
      </w:rPr>
      <w:t>DWR 01/</w:t>
    </w:r>
    <w:r w:rsidR="00504C53">
      <w:rPr>
        <w:rFonts w:ascii="Arial" w:hAnsi="Arial" w:cs="Arial"/>
        <w:sz w:val="16"/>
        <w:szCs w:val="16"/>
      </w:rPr>
      <w:t>21</w:t>
    </w:r>
    <w:r>
      <w:rPr>
        <w:rFonts w:ascii="Arial" w:hAnsi="Arial" w:cs="Arial"/>
        <w:sz w:val="16"/>
        <w:szCs w:val="16"/>
      </w:rPr>
      <w:t xml:space="preserve"> - Part 5 – </w:t>
    </w:r>
    <w:r w:rsidR="00504C53">
      <w:rPr>
        <w:rFonts w:ascii="Arial" w:hAnsi="Arial" w:cs="Arial"/>
        <w:sz w:val="16"/>
        <w:szCs w:val="16"/>
      </w:rPr>
      <w:t>2022</w:t>
    </w:r>
    <w:r>
      <w:rPr>
        <w:rFonts w:ascii="Arial" w:hAnsi="Arial" w:cs="Arial"/>
        <w:sz w:val="16"/>
        <w:szCs w:val="16"/>
      </w:rPr>
      <w:t xml:space="preserve"> </w:t>
    </w:r>
    <w:r w:rsidR="00504C53">
      <w:rPr>
        <w:rFonts w:ascii="Arial" w:hAnsi="Arial" w:cs="Arial"/>
        <w:sz w:val="16"/>
      </w:rPr>
      <w:t>Triennial</w:t>
    </w:r>
    <w:r w:rsidRPr="00B70204">
      <w:rPr>
        <w:rFonts w:ascii="Arial" w:hAnsi="Arial" w:cs="Arial"/>
        <w:sz w:val="16"/>
      </w:rPr>
      <w:t xml:space="preserve"> Code Cycle</w:t>
    </w:r>
    <w:r w:rsidR="00497978" w:rsidRPr="00B1767F">
      <w:rPr>
        <w:rFonts w:ascii="Arial" w:hAnsi="Arial" w:cs="Arial"/>
        <w:sz w:val="16"/>
      </w:rPr>
      <w:tab/>
    </w:r>
    <w:r w:rsidR="00497978">
      <w:rPr>
        <w:rStyle w:val="PageNumber"/>
        <w:rFonts w:ascii="Arial" w:hAnsi="Arial" w:cs="Arial"/>
        <w:sz w:val="16"/>
      </w:rPr>
      <w:t xml:space="preserve">Page </w:t>
    </w:r>
    <w:r w:rsidR="00497978" w:rsidRPr="00B1767F">
      <w:rPr>
        <w:rStyle w:val="PageNumber"/>
        <w:rFonts w:ascii="Arial" w:hAnsi="Arial" w:cs="Arial"/>
        <w:sz w:val="16"/>
      </w:rPr>
      <w:fldChar w:fldCharType="begin"/>
    </w:r>
    <w:r w:rsidR="00497978" w:rsidRPr="00B1767F">
      <w:rPr>
        <w:rStyle w:val="PageNumber"/>
        <w:rFonts w:ascii="Arial" w:hAnsi="Arial" w:cs="Arial"/>
        <w:sz w:val="16"/>
      </w:rPr>
      <w:instrText xml:space="preserve"> PAGE </w:instrText>
    </w:r>
    <w:r w:rsidR="00497978" w:rsidRPr="00B1767F">
      <w:rPr>
        <w:rStyle w:val="PageNumber"/>
        <w:rFonts w:ascii="Arial" w:hAnsi="Arial" w:cs="Arial"/>
        <w:sz w:val="16"/>
      </w:rPr>
      <w:fldChar w:fldCharType="separate"/>
    </w:r>
    <w:r w:rsidR="00DB30E2">
      <w:rPr>
        <w:rStyle w:val="PageNumber"/>
        <w:rFonts w:ascii="Arial" w:hAnsi="Arial" w:cs="Arial"/>
        <w:noProof/>
        <w:sz w:val="16"/>
      </w:rPr>
      <w:t>1</w:t>
    </w:r>
    <w:r w:rsidR="00497978" w:rsidRPr="00B1767F">
      <w:rPr>
        <w:rStyle w:val="PageNumber"/>
        <w:rFonts w:ascii="Arial" w:hAnsi="Arial" w:cs="Arial"/>
        <w:sz w:val="16"/>
      </w:rPr>
      <w:fldChar w:fldCharType="end"/>
    </w:r>
    <w:r w:rsidR="00497978" w:rsidRPr="00B1767F">
      <w:rPr>
        <w:rStyle w:val="PageNumber"/>
        <w:rFonts w:ascii="Arial" w:hAnsi="Arial" w:cs="Arial"/>
        <w:sz w:val="16"/>
      </w:rPr>
      <w:t xml:space="preserve"> of </w:t>
    </w:r>
    <w:r w:rsidR="00497978" w:rsidRPr="00B1767F">
      <w:rPr>
        <w:rStyle w:val="PageNumber"/>
        <w:rFonts w:ascii="Arial" w:hAnsi="Arial" w:cs="Arial"/>
        <w:sz w:val="16"/>
      </w:rPr>
      <w:fldChar w:fldCharType="begin"/>
    </w:r>
    <w:r w:rsidR="00497978" w:rsidRPr="00B1767F">
      <w:rPr>
        <w:rStyle w:val="PageNumber"/>
        <w:rFonts w:ascii="Arial" w:hAnsi="Arial" w:cs="Arial"/>
        <w:sz w:val="16"/>
      </w:rPr>
      <w:instrText xml:space="preserve"> NUMPAGES </w:instrText>
    </w:r>
    <w:r w:rsidR="00497978" w:rsidRPr="00B1767F">
      <w:rPr>
        <w:rStyle w:val="PageNumber"/>
        <w:rFonts w:ascii="Arial" w:hAnsi="Arial" w:cs="Arial"/>
        <w:sz w:val="16"/>
      </w:rPr>
      <w:fldChar w:fldCharType="separate"/>
    </w:r>
    <w:r w:rsidR="00DB30E2">
      <w:rPr>
        <w:rStyle w:val="PageNumber"/>
        <w:rFonts w:ascii="Arial" w:hAnsi="Arial" w:cs="Arial"/>
        <w:noProof/>
        <w:sz w:val="16"/>
      </w:rPr>
      <w:t>2</w:t>
    </w:r>
    <w:r w:rsidR="00497978" w:rsidRPr="00B1767F">
      <w:rPr>
        <w:rStyle w:val="PageNumber"/>
        <w:rFonts w:ascii="Arial" w:hAnsi="Arial" w:cs="Arial"/>
        <w:sz w:val="16"/>
      </w:rPr>
      <w:fldChar w:fldCharType="end"/>
    </w:r>
    <w:r w:rsidR="00497978" w:rsidRPr="00B1767F">
      <w:rPr>
        <w:rFonts w:ascii="Arial" w:hAnsi="Arial" w:cs="Arial"/>
        <w:sz w:val="16"/>
      </w:rPr>
      <w:tab/>
    </w:r>
    <w:r w:rsidR="00504C53">
      <w:rPr>
        <w:rFonts w:ascii="Arial" w:hAnsi="Arial" w:cs="Arial"/>
        <w:sz w:val="16"/>
      </w:rPr>
      <w:t>DWR-01-21-Addendum-Pt5</w:t>
    </w:r>
  </w:p>
  <w:p w14:paraId="458F00E7" w14:textId="77777777" w:rsidR="00526761" w:rsidRPr="00B1767F" w:rsidRDefault="00BB1353" w:rsidP="00744F38">
    <w:pPr>
      <w:pStyle w:val="Footer"/>
      <w:rPr>
        <w:rFonts w:ascii="Arial" w:hAnsi="Arial" w:cs="Arial"/>
        <w:sz w:val="20"/>
      </w:rPr>
    </w:pPr>
    <w:r>
      <w:rPr>
        <w:sz w:val="16"/>
      </w:rPr>
      <w:t xml:space="preserve">California </w:t>
    </w:r>
    <w:bookmarkStart w:id="9" w:name="_Hlk20751553"/>
    <w:r>
      <w:rPr>
        <w:sz w:val="16"/>
      </w:rPr>
      <w:t>Department of Water Resources</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4704B" w14:textId="77777777" w:rsidR="00087461" w:rsidRDefault="00087461">
      <w:r>
        <w:separator/>
      </w:r>
    </w:p>
  </w:footnote>
  <w:footnote w:type="continuationSeparator" w:id="0">
    <w:p w14:paraId="2741B690" w14:textId="77777777" w:rsidR="00087461" w:rsidRDefault="0008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4055" w14:textId="189DC170"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7DFF4B1" w14:textId="77777777"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25BAEEDD" w14:textId="77777777" w:rsidR="00082D91" w:rsidRDefault="0008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B76CB"/>
    <w:multiLevelType w:val="hybridMultilevel"/>
    <w:tmpl w:val="3664EB84"/>
    <w:lvl w:ilvl="0" w:tplc="DCC4CB4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62636D"/>
    <w:multiLevelType w:val="hybridMultilevel"/>
    <w:tmpl w:val="3664EB84"/>
    <w:lvl w:ilvl="0" w:tplc="DCC4CB4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F5C44"/>
    <w:multiLevelType w:val="hybridMultilevel"/>
    <w:tmpl w:val="6CBAA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B8304F"/>
    <w:multiLevelType w:val="hybridMultilevel"/>
    <w:tmpl w:val="3664EB84"/>
    <w:lvl w:ilvl="0" w:tplc="DCC4CB4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26"/>
    <w:rsid w:val="00001750"/>
    <w:rsid w:val="00020408"/>
    <w:rsid w:val="00054EE1"/>
    <w:rsid w:val="00062AAA"/>
    <w:rsid w:val="00065AE4"/>
    <w:rsid w:val="000677F0"/>
    <w:rsid w:val="00072A18"/>
    <w:rsid w:val="00082D91"/>
    <w:rsid w:val="00084066"/>
    <w:rsid w:val="00087461"/>
    <w:rsid w:val="000E36A3"/>
    <w:rsid w:val="000F123E"/>
    <w:rsid w:val="00105766"/>
    <w:rsid w:val="00130778"/>
    <w:rsid w:val="001325B5"/>
    <w:rsid w:val="00135F2F"/>
    <w:rsid w:val="00151926"/>
    <w:rsid w:val="00154D19"/>
    <w:rsid w:val="00167807"/>
    <w:rsid w:val="001700E1"/>
    <w:rsid w:val="00183901"/>
    <w:rsid w:val="00194C5C"/>
    <w:rsid w:val="001A293F"/>
    <w:rsid w:val="001A37EE"/>
    <w:rsid w:val="001B0D8D"/>
    <w:rsid w:val="001B658D"/>
    <w:rsid w:val="001F6DA1"/>
    <w:rsid w:val="00200AB9"/>
    <w:rsid w:val="0022095A"/>
    <w:rsid w:val="002258CB"/>
    <w:rsid w:val="00227BC7"/>
    <w:rsid w:val="00262613"/>
    <w:rsid w:val="002942D4"/>
    <w:rsid w:val="002A3AFD"/>
    <w:rsid w:val="002B7EEE"/>
    <w:rsid w:val="002C62AE"/>
    <w:rsid w:val="003102CA"/>
    <w:rsid w:val="00313CDE"/>
    <w:rsid w:val="00327529"/>
    <w:rsid w:val="00331C6A"/>
    <w:rsid w:val="0034300B"/>
    <w:rsid w:val="00354375"/>
    <w:rsid w:val="00370DD3"/>
    <w:rsid w:val="00383163"/>
    <w:rsid w:val="00387742"/>
    <w:rsid w:val="00390259"/>
    <w:rsid w:val="00391483"/>
    <w:rsid w:val="003B191B"/>
    <w:rsid w:val="003B5B3A"/>
    <w:rsid w:val="004069CE"/>
    <w:rsid w:val="004155ED"/>
    <w:rsid w:val="00427670"/>
    <w:rsid w:val="004479CA"/>
    <w:rsid w:val="00452D33"/>
    <w:rsid w:val="00454727"/>
    <w:rsid w:val="00457339"/>
    <w:rsid w:val="0046522E"/>
    <w:rsid w:val="004829F2"/>
    <w:rsid w:val="00497978"/>
    <w:rsid w:val="004A0868"/>
    <w:rsid w:val="004A7901"/>
    <w:rsid w:val="004D4139"/>
    <w:rsid w:val="00504C53"/>
    <w:rsid w:val="00510ECB"/>
    <w:rsid w:val="0051514B"/>
    <w:rsid w:val="00526761"/>
    <w:rsid w:val="00534E76"/>
    <w:rsid w:val="0054032A"/>
    <w:rsid w:val="00565942"/>
    <w:rsid w:val="005770A0"/>
    <w:rsid w:val="00591BC3"/>
    <w:rsid w:val="005A1D22"/>
    <w:rsid w:val="005C7A09"/>
    <w:rsid w:val="005D0137"/>
    <w:rsid w:val="006105F7"/>
    <w:rsid w:val="006206A3"/>
    <w:rsid w:val="0062649C"/>
    <w:rsid w:val="006470E4"/>
    <w:rsid w:val="00685FA3"/>
    <w:rsid w:val="006917E5"/>
    <w:rsid w:val="00695A52"/>
    <w:rsid w:val="006B3837"/>
    <w:rsid w:val="006B4454"/>
    <w:rsid w:val="006B6585"/>
    <w:rsid w:val="006D56D4"/>
    <w:rsid w:val="00716FFE"/>
    <w:rsid w:val="00744F38"/>
    <w:rsid w:val="00760CB3"/>
    <w:rsid w:val="007630EA"/>
    <w:rsid w:val="007712C0"/>
    <w:rsid w:val="00784475"/>
    <w:rsid w:val="00787198"/>
    <w:rsid w:val="00796EC6"/>
    <w:rsid w:val="007E66E3"/>
    <w:rsid w:val="007F68BD"/>
    <w:rsid w:val="00813B91"/>
    <w:rsid w:val="00823C88"/>
    <w:rsid w:val="00835CE1"/>
    <w:rsid w:val="00836870"/>
    <w:rsid w:val="00841A55"/>
    <w:rsid w:val="00851ADC"/>
    <w:rsid w:val="00855D80"/>
    <w:rsid w:val="0086343C"/>
    <w:rsid w:val="00870047"/>
    <w:rsid w:val="008714C7"/>
    <w:rsid w:val="00874A25"/>
    <w:rsid w:val="008A2BB0"/>
    <w:rsid w:val="008B5688"/>
    <w:rsid w:val="008E24F9"/>
    <w:rsid w:val="008F13F7"/>
    <w:rsid w:val="008F41DD"/>
    <w:rsid w:val="00907981"/>
    <w:rsid w:val="00924AA5"/>
    <w:rsid w:val="0093291D"/>
    <w:rsid w:val="00934F95"/>
    <w:rsid w:val="009529F7"/>
    <w:rsid w:val="00953053"/>
    <w:rsid w:val="009551B9"/>
    <w:rsid w:val="00962F15"/>
    <w:rsid w:val="0098606F"/>
    <w:rsid w:val="0099316F"/>
    <w:rsid w:val="009B2939"/>
    <w:rsid w:val="009B40E8"/>
    <w:rsid w:val="009C2C3A"/>
    <w:rsid w:val="009C6F67"/>
    <w:rsid w:val="009E48DF"/>
    <w:rsid w:val="009F4C5C"/>
    <w:rsid w:val="00A202B2"/>
    <w:rsid w:val="00A23DA3"/>
    <w:rsid w:val="00A60064"/>
    <w:rsid w:val="00A622AA"/>
    <w:rsid w:val="00A77BA8"/>
    <w:rsid w:val="00AA13E2"/>
    <w:rsid w:val="00AA7BC9"/>
    <w:rsid w:val="00AB66C7"/>
    <w:rsid w:val="00AE2F87"/>
    <w:rsid w:val="00B00EAD"/>
    <w:rsid w:val="00B03176"/>
    <w:rsid w:val="00B12025"/>
    <w:rsid w:val="00B17364"/>
    <w:rsid w:val="00B1767F"/>
    <w:rsid w:val="00B25FCF"/>
    <w:rsid w:val="00B432B6"/>
    <w:rsid w:val="00B44627"/>
    <w:rsid w:val="00B46C0C"/>
    <w:rsid w:val="00B53E85"/>
    <w:rsid w:val="00B70EFE"/>
    <w:rsid w:val="00B91C93"/>
    <w:rsid w:val="00B93094"/>
    <w:rsid w:val="00BA1C11"/>
    <w:rsid w:val="00BB1353"/>
    <w:rsid w:val="00BC4F34"/>
    <w:rsid w:val="00BD27E3"/>
    <w:rsid w:val="00BD4FBD"/>
    <w:rsid w:val="00BD7E10"/>
    <w:rsid w:val="00C039D6"/>
    <w:rsid w:val="00C12A96"/>
    <w:rsid w:val="00C43C0B"/>
    <w:rsid w:val="00C47EC4"/>
    <w:rsid w:val="00C573EA"/>
    <w:rsid w:val="00C610C8"/>
    <w:rsid w:val="00C73F23"/>
    <w:rsid w:val="00C97E27"/>
    <w:rsid w:val="00CA5AEE"/>
    <w:rsid w:val="00CB6FCC"/>
    <w:rsid w:val="00CD5EFA"/>
    <w:rsid w:val="00CF4738"/>
    <w:rsid w:val="00CF6F40"/>
    <w:rsid w:val="00CF71A6"/>
    <w:rsid w:val="00D01AB0"/>
    <w:rsid w:val="00D0381E"/>
    <w:rsid w:val="00D102F8"/>
    <w:rsid w:val="00D1097D"/>
    <w:rsid w:val="00D277E1"/>
    <w:rsid w:val="00D55D02"/>
    <w:rsid w:val="00D5798C"/>
    <w:rsid w:val="00D62908"/>
    <w:rsid w:val="00D9456B"/>
    <w:rsid w:val="00DA7D04"/>
    <w:rsid w:val="00DB30E2"/>
    <w:rsid w:val="00DB63D3"/>
    <w:rsid w:val="00E0268C"/>
    <w:rsid w:val="00E05A74"/>
    <w:rsid w:val="00E330A0"/>
    <w:rsid w:val="00E7437B"/>
    <w:rsid w:val="00E80AB0"/>
    <w:rsid w:val="00EC59F2"/>
    <w:rsid w:val="00ED01E1"/>
    <w:rsid w:val="00ED1B14"/>
    <w:rsid w:val="00ED2287"/>
    <w:rsid w:val="00EE45FC"/>
    <w:rsid w:val="00EE794D"/>
    <w:rsid w:val="00F15FEC"/>
    <w:rsid w:val="00F21C7A"/>
    <w:rsid w:val="00F239B9"/>
    <w:rsid w:val="00F5541A"/>
    <w:rsid w:val="00F6069A"/>
    <w:rsid w:val="00F86CA3"/>
    <w:rsid w:val="00FD7454"/>
    <w:rsid w:val="00FD7AB9"/>
    <w:rsid w:val="00FE0116"/>
    <w:rsid w:val="00FE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8F9867"/>
  <w15:docId w15:val="{5A74A5EC-5845-4559-B180-28016D3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C5C"/>
    <w:pPr>
      <w:widowControl w:val="0"/>
    </w:pPr>
    <w:rPr>
      <w:rFonts w:ascii="Helvetica" w:hAnsi="Helvetica"/>
      <w:snapToGrid w:val="0"/>
      <w:sz w:val="24"/>
    </w:rPr>
  </w:style>
  <w:style w:type="paragraph" w:styleId="Heading1">
    <w:name w:val="heading 1"/>
    <w:basedOn w:val="Normal"/>
    <w:next w:val="Normal"/>
    <w:link w:val="Heading1Char"/>
    <w:qFormat/>
    <w:rsid w:val="00AE2F87"/>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1B0D8D"/>
    <w:pPr>
      <w:keepNext/>
      <w:widowControl/>
      <w:spacing w:before="240" w:after="120"/>
      <w:outlineLvl w:val="1"/>
    </w:pPr>
    <w:rPr>
      <w:rFonts w:ascii="Arial" w:hAnsi="Arial"/>
      <w:b/>
    </w:rPr>
  </w:style>
  <w:style w:type="paragraph" w:styleId="Heading3">
    <w:name w:val="heading 3"/>
    <w:basedOn w:val="Normal"/>
    <w:next w:val="Normal"/>
    <w:qFormat/>
    <w:pPr>
      <w:keepNext/>
      <w:widowControl/>
      <w:tabs>
        <w:tab w:val="center" w:pos="4680"/>
      </w:tabs>
      <w:jc w:val="center"/>
      <w:outlineLvl w:val="2"/>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rFonts w:ascii="Arial" w:hAnsi="Arial"/>
      <w:b/>
      <w:sz w:val="20"/>
      <w:u w:val="single"/>
    </w:rPr>
  </w:style>
  <w:style w:type="paragraph" w:styleId="BodyText2">
    <w:name w:val="Body Text 2"/>
    <w:basedOn w:val="Normal"/>
    <w:semiHidden/>
    <w:pPr>
      <w:widowControl/>
    </w:pPr>
    <w:rPr>
      <w:rFonts w:ascii="Arial" w:hAnsi="Arial"/>
      <w:b/>
      <w:sz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jc w:val="both"/>
    </w:pPr>
    <w:rPr>
      <w:rFonts w:ascii="Arial" w:hAnsi="Arial"/>
      <w:sz w:val="20"/>
    </w:rPr>
  </w:style>
  <w:style w:type="paragraph" w:styleId="Title">
    <w:name w:val="Title"/>
    <w:basedOn w:val="Normal"/>
    <w:qFormat/>
    <w:rsid w:val="00387742"/>
    <w:pPr>
      <w:widowControl/>
      <w:tabs>
        <w:tab w:val="center" w:pos="4680"/>
      </w:tabs>
      <w:jc w:val="center"/>
    </w:pPr>
    <w:rPr>
      <w:rFonts w:ascii="Arial" w:hAnsi="Arial"/>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semiHidden/>
    <w:rsid w:val="00082D91"/>
    <w:rPr>
      <w:rFonts w:ascii="Helvetica" w:hAnsi="Helvetica"/>
      <w:snapToGrid w:val="0"/>
      <w:sz w:val="24"/>
    </w:rPr>
  </w:style>
  <w:style w:type="paragraph" w:styleId="ListParagraph">
    <w:name w:val="List Paragraph"/>
    <w:basedOn w:val="Normal"/>
    <w:uiPriority w:val="34"/>
    <w:qFormat/>
    <w:rsid w:val="00194C5C"/>
    <w:pPr>
      <w:ind w:left="720"/>
      <w:contextualSpacing/>
    </w:pPr>
  </w:style>
  <w:style w:type="character" w:customStyle="1" w:styleId="Normal1">
    <w:name w:val="Normal1"/>
    <w:rsid w:val="00BB1353"/>
    <w:rPr>
      <w:rFonts w:ascii="Helvetica LT Std" w:eastAsia="Helvetica LT Std" w:hAnsi="Helvetica LT Std"/>
      <w:noProof w:val="0"/>
      <w:sz w:val="24"/>
      <w:lang w:val="en-US"/>
    </w:rPr>
  </w:style>
  <w:style w:type="character" w:customStyle="1" w:styleId="Heading1Char">
    <w:name w:val="Heading 1 Char"/>
    <w:basedOn w:val="DefaultParagraphFont"/>
    <w:link w:val="Heading1"/>
    <w:rsid w:val="0034300B"/>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DWR 01-19 Addendum Part 5</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01-19 Addendum Part 5</dc:title>
  <dc:creator>CBSC</dc:creator>
  <cp:lastModifiedBy>Maynard, Beth@DGS</cp:lastModifiedBy>
  <cp:revision>8</cp:revision>
  <cp:lastPrinted>2020-02-04T00:13:00Z</cp:lastPrinted>
  <dcterms:created xsi:type="dcterms:W3CDTF">2021-03-18T17:19:00Z</dcterms:created>
  <dcterms:modified xsi:type="dcterms:W3CDTF">2021-03-18T18:44:00Z</dcterms:modified>
</cp:coreProperties>
</file>