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B255F" w14:textId="34E100C1" w:rsidR="008A6CD2" w:rsidRPr="00E97B7B" w:rsidRDefault="00F163D3" w:rsidP="008A6CD2">
      <w:pPr>
        <w:pStyle w:val="Heading1"/>
        <w:spacing w:line="240" w:lineRule="auto"/>
        <w:jc w:val="center"/>
        <w:rPr>
          <w:rFonts w:cs="Arial"/>
        </w:rPr>
      </w:pPr>
      <w:r w:rsidRPr="00E97B7B">
        <w:rPr>
          <w:rFonts w:cs="Arial"/>
        </w:rPr>
        <w:t>INITIAL</w:t>
      </w:r>
      <w:r w:rsidR="00E3790F" w:rsidRPr="00E97B7B">
        <w:rPr>
          <w:rFonts w:cs="Arial"/>
        </w:rPr>
        <w:t xml:space="preserve"> </w:t>
      </w:r>
      <w:r w:rsidR="000257AD" w:rsidRPr="00E97B7B">
        <w:rPr>
          <w:rFonts w:cs="Arial"/>
        </w:rPr>
        <w:t>EXPRESS TERMS</w:t>
      </w:r>
      <w:r w:rsidR="002A55E0" w:rsidRPr="00E97B7B">
        <w:rPr>
          <w:rFonts w:cs="Arial"/>
        </w:rPr>
        <w:br/>
      </w:r>
      <w:r w:rsidR="000257AD" w:rsidRPr="00E97B7B">
        <w:rPr>
          <w:rFonts w:cs="Arial"/>
        </w:rPr>
        <w:t>FOR</w:t>
      </w:r>
      <w:r w:rsidR="003A5EC5" w:rsidRPr="00E97B7B">
        <w:rPr>
          <w:rFonts w:cs="Arial"/>
        </w:rPr>
        <w:t xml:space="preserve"> </w:t>
      </w:r>
      <w:r w:rsidR="000257AD" w:rsidRPr="00E97B7B">
        <w:rPr>
          <w:rFonts w:cs="Arial"/>
        </w:rPr>
        <w:t>PROPOSED BUILDING STANDARDS</w:t>
      </w:r>
      <w:r w:rsidR="003A5EC5" w:rsidRPr="00E97B7B">
        <w:rPr>
          <w:rFonts w:cs="Arial"/>
        </w:rPr>
        <w:br/>
      </w:r>
      <w:r w:rsidR="000257AD" w:rsidRPr="00E97B7B">
        <w:rPr>
          <w:rFonts w:cs="Arial"/>
        </w:rPr>
        <w:t>OF THE</w:t>
      </w:r>
      <w:r w:rsidR="003A5EC5" w:rsidRPr="00E97B7B">
        <w:rPr>
          <w:rFonts w:cs="Arial"/>
        </w:rPr>
        <w:t xml:space="preserve"> </w:t>
      </w:r>
      <w:r w:rsidR="005B2371" w:rsidRPr="00E97B7B">
        <w:rPr>
          <w:rFonts w:cs="Arial"/>
        </w:rPr>
        <w:t>CALIFORNIA ENERGY COMMISSION</w:t>
      </w:r>
      <w:r w:rsidR="003A5EC5" w:rsidRPr="00E97B7B">
        <w:rPr>
          <w:rFonts w:cs="Arial"/>
        </w:rPr>
        <w:br/>
      </w:r>
      <w:r w:rsidR="000257AD" w:rsidRPr="00E97B7B">
        <w:rPr>
          <w:rFonts w:cs="Arial"/>
        </w:rPr>
        <w:t xml:space="preserve">REGARDING </w:t>
      </w:r>
      <w:r w:rsidR="001701D4" w:rsidRPr="00E97B7B">
        <w:rPr>
          <w:rFonts w:cs="Arial"/>
        </w:rPr>
        <w:t>THE</w:t>
      </w:r>
      <w:r w:rsidR="003A5EC5" w:rsidRPr="00E97B7B">
        <w:rPr>
          <w:rFonts w:cs="Arial"/>
        </w:rPr>
        <w:t xml:space="preserve"> </w:t>
      </w:r>
      <w:r w:rsidR="005B2371" w:rsidRPr="00237349">
        <w:rPr>
          <w:rFonts w:eastAsiaTheme="majorEastAsia"/>
        </w:rPr>
        <w:t>2022</w:t>
      </w:r>
      <w:r w:rsidR="005B2371" w:rsidRPr="005E0E82">
        <w:rPr>
          <w:rFonts w:eastAsiaTheme="majorEastAsia"/>
        </w:rPr>
        <w:t xml:space="preserve"> CALIFORNIA PLUMBING CODE</w:t>
      </w:r>
      <w:r w:rsidR="002A55E0" w:rsidRPr="00E97B7B">
        <w:rPr>
          <w:rFonts w:cs="Arial"/>
        </w:rPr>
        <w:t>,</w:t>
      </w:r>
    </w:p>
    <w:p w14:paraId="3BA59331" w14:textId="4C7BE7E0" w:rsidR="001701D4" w:rsidRPr="00E97B7B" w:rsidRDefault="000257AD" w:rsidP="008A6CD2">
      <w:pPr>
        <w:pStyle w:val="Heading1"/>
        <w:spacing w:line="240" w:lineRule="auto"/>
        <w:jc w:val="center"/>
        <w:rPr>
          <w:rFonts w:cs="Arial"/>
        </w:rPr>
      </w:pPr>
      <w:r w:rsidRPr="00E97B7B">
        <w:rPr>
          <w:rFonts w:cs="Arial"/>
        </w:rPr>
        <w:t xml:space="preserve">CALIFORNIA CODE OF REGULATIONS, TITLE 24, PART </w:t>
      </w:r>
      <w:r w:rsidR="005B2371" w:rsidRPr="00E97B7B">
        <w:rPr>
          <w:rStyle w:val="TitleChar"/>
          <w:rFonts w:cs="Arial"/>
          <w:b/>
        </w:rPr>
        <w:t>5</w:t>
      </w:r>
    </w:p>
    <w:p w14:paraId="5A0C8502" w14:textId="4B6FF2C8" w:rsidR="00704C9C" w:rsidRPr="00E97B7B" w:rsidRDefault="001701D4" w:rsidP="001701D4">
      <w:pPr>
        <w:pStyle w:val="Heading1"/>
        <w:spacing w:before="120" w:after="120"/>
        <w:jc w:val="center"/>
        <w:rPr>
          <w:rFonts w:cs="Arial"/>
        </w:rPr>
      </w:pPr>
      <w:r w:rsidRPr="00E97B7B">
        <w:rPr>
          <w:rFonts w:cs="Arial"/>
        </w:rPr>
        <w:t>(</w:t>
      </w:r>
      <w:r w:rsidR="00B16711">
        <w:rPr>
          <w:rFonts w:cs="Arial"/>
        </w:rPr>
        <w:t xml:space="preserve">CEC </w:t>
      </w:r>
      <w:r w:rsidR="0058115F">
        <w:rPr>
          <w:rFonts w:cs="Arial"/>
        </w:rPr>
        <w:t>0</w:t>
      </w:r>
      <w:r w:rsidR="00B16711">
        <w:rPr>
          <w:rFonts w:cs="Arial"/>
        </w:rPr>
        <w:t>2-21</w:t>
      </w:r>
      <w:r w:rsidRPr="00E97B7B">
        <w:rPr>
          <w:rFonts w:cs="Arial"/>
        </w:rPr>
        <w:t>)</w:t>
      </w:r>
    </w:p>
    <w:p w14:paraId="2D577F23" w14:textId="77777777" w:rsidR="00704C9C" w:rsidRPr="00E97B7B" w:rsidRDefault="000257AD" w:rsidP="001F3417">
      <w:pPr>
        <w:spacing w:before="120" w:after="120"/>
        <w:rPr>
          <w:rFonts w:ascii="Arial" w:hAnsi="Arial" w:cs="Arial"/>
        </w:rPr>
      </w:pPr>
      <w:r w:rsidRPr="00E97B7B">
        <w:rPr>
          <w:rFonts w:ascii="Arial" w:hAnsi="Arial" w:cs="Arial"/>
        </w:rPr>
        <w:t>The State agency shall draft the regulations in plain, straightforward language, avoiding technical terms as much as possible and using a coher</w:t>
      </w:r>
      <w:r w:rsidR="004A129E" w:rsidRPr="00E97B7B">
        <w:rPr>
          <w:rFonts w:ascii="Arial" w:hAnsi="Arial" w:cs="Arial"/>
        </w:rPr>
        <w:t xml:space="preserve">ent and easily readable style. </w:t>
      </w:r>
      <w:r w:rsidRPr="00E97B7B">
        <w:rPr>
          <w:rFonts w:ascii="Arial" w:hAnsi="Arial" w:cs="Arial"/>
        </w:rPr>
        <w:t xml:space="preserve">The agency shall draft the regulation in plain English. A notation shall follow the express terms of each regulation listing the specific statutes authorizing the adoption and listing specific statutes being implemented, interpreted, or made specific </w:t>
      </w:r>
      <w:r w:rsidR="004A129E" w:rsidRPr="00E97B7B">
        <w:rPr>
          <w:rFonts w:ascii="Arial" w:hAnsi="Arial" w:cs="Arial"/>
        </w:rPr>
        <w:t>(</w:t>
      </w:r>
      <w:r w:rsidR="00704C9C" w:rsidRPr="00E97B7B">
        <w:rPr>
          <w:rFonts w:ascii="Arial" w:hAnsi="Arial" w:cs="Arial"/>
        </w:rPr>
        <w:t xml:space="preserve">Government Code Section 11346.2(a)(1)). </w:t>
      </w:r>
    </w:p>
    <w:p w14:paraId="0EBE41AF" w14:textId="77777777" w:rsidR="002F066A" w:rsidRPr="00E97B7B" w:rsidRDefault="002F066A" w:rsidP="002F066A">
      <w:pPr>
        <w:pBdr>
          <w:top w:val="single" w:sz="4" w:space="1" w:color="auto"/>
        </w:pBdr>
        <w:spacing w:before="120"/>
        <w:rPr>
          <w:rFonts w:ascii="Arial" w:hAnsi="Arial" w:cs="Arial"/>
        </w:rPr>
      </w:pPr>
      <w:r w:rsidRPr="00E97B7B">
        <w:rPr>
          <w:rFonts w:ascii="Arial" w:hAnsi="Arial" w:cs="Arial"/>
          <w:szCs w:val="24"/>
        </w:rPr>
        <w:t>If using assistive technology, please adjust your settings to recognize underline, strikeout, italic and ellipsis.</w:t>
      </w:r>
    </w:p>
    <w:p w14:paraId="33EA7DEA" w14:textId="77777777" w:rsidR="002F066A" w:rsidRPr="00E97B7B" w:rsidRDefault="002F066A" w:rsidP="00AD67B3">
      <w:pPr>
        <w:pStyle w:val="Heading2"/>
        <w:rPr>
          <w:rFonts w:cs="Arial"/>
        </w:rPr>
      </w:pPr>
      <w:r w:rsidRPr="00E97B7B">
        <w:rPr>
          <w:rFonts w:cs="Arial"/>
        </w:rPr>
        <w:t>LEGEND for EXPRESS TERMS (Based on model codes - Parts 2, 2.5, 3, 4, 5, 9, 10)</w:t>
      </w:r>
    </w:p>
    <w:p w14:paraId="45ED3B58" w14:textId="77777777" w:rsidR="002F066A" w:rsidRPr="00E97B7B" w:rsidRDefault="002F066A" w:rsidP="00C57320">
      <w:pPr>
        <w:pStyle w:val="ListParagraph"/>
        <w:numPr>
          <w:ilvl w:val="0"/>
          <w:numId w:val="5"/>
        </w:numPr>
        <w:rPr>
          <w:rFonts w:ascii="Arial" w:hAnsi="Arial" w:cs="Arial"/>
        </w:rPr>
      </w:pPr>
      <w:bookmarkStart w:id="0" w:name="_Hlk51751202"/>
      <w:r w:rsidRPr="00E97B7B">
        <w:rPr>
          <w:rFonts w:ascii="Arial" w:hAnsi="Arial" w:cs="Arial"/>
        </w:rPr>
        <w:t>Model Code language appears upright</w:t>
      </w:r>
    </w:p>
    <w:p w14:paraId="390A87CB" w14:textId="77777777" w:rsidR="002F066A" w:rsidRPr="00E97B7B" w:rsidRDefault="002F066A" w:rsidP="00C57320">
      <w:pPr>
        <w:pStyle w:val="ListParagraph"/>
        <w:numPr>
          <w:ilvl w:val="0"/>
          <w:numId w:val="5"/>
        </w:numPr>
        <w:rPr>
          <w:rFonts w:ascii="Arial" w:hAnsi="Arial" w:cs="Arial"/>
        </w:rPr>
      </w:pPr>
      <w:r w:rsidRPr="00E97B7B">
        <w:rPr>
          <w:rFonts w:ascii="Arial" w:hAnsi="Arial" w:cs="Arial"/>
        </w:rPr>
        <w:t xml:space="preserve">Existing California amendments appear in </w:t>
      </w:r>
      <w:r w:rsidRPr="00E97B7B">
        <w:rPr>
          <w:rFonts w:ascii="Arial" w:hAnsi="Arial" w:cs="Arial"/>
          <w:i/>
        </w:rPr>
        <w:t>italic</w:t>
      </w:r>
    </w:p>
    <w:p w14:paraId="64085501" w14:textId="77777777" w:rsidR="002F066A" w:rsidRPr="00E97B7B" w:rsidRDefault="002F066A" w:rsidP="00C57320">
      <w:pPr>
        <w:pStyle w:val="ListParagraph"/>
        <w:numPr>
          <w:ilvl w:val="0"/>
          <w:numId w:val="5"/>
        </w:numPr>
        <w:rPr>
          <w:rFonts w:ascii="Arial" w:hAnsi="Arial" w:cs="Arial"/>
          <w:i/>
          <w:u w:val="single"/>
        </w:rPr>
      </w:pPr>
      <w:r w:rsidRPr="00E97B7B">
        <w:rPr>
          <w:rFonts w:ascii="Arial" w:hAnsi="Arial" w:cs="Arial"/>
        </w:rPr>
        <w:t xml:space="preserve">Amended model code or new California amendments appear </w:t>
      </w:r>
      <w:r w:rsidRPr="00E97B7B">
        <w:rPr>
          <w:rFonts w:ascii="Arial" w:hAnsi="Arial" w:cs="Arial"/>
          <w:i/>
          <w:u w:val="single"/>
        </w:rPr>
        <w:t>underlined &amp; italic</w:t>
      </w:r>
    </w:p>
    <w:p w14:paraId="2EB1F489" w14:textId="77777777" w:rsidR="002F066A" w:rsidRPr="00E97B7B" w:rsidRDefault="002F066A" w:rsidP="00C57320">
      <w:pPr>
        <w:pStyle w:val="ListParagraph"/>
        <w:numPr>
          <w:ilvl w:val="0"/>
          <w:numId w:val="5"/>
        </w:numPr>
        <w:rPr>
          <w:rFonts w:ascii="Arial" w:hAnsi="Arial" w:cs="Arial"/>
        </w:rPr>
      </w:pPr>
      <w:r w:rsidRPr="00E97B7B">
        <w:rPr>
          <w:rFonts w:ascii="Arial" w:hAnsi="Arial" w:cs="Arial"/>
        </w:rPr>
        <w:t xml:space="preserve">Repealed model code language appears </w:t>
      </w:r>
      <w:r w:rsidRPr="00E97B7B">
        <w:rPr>
          <w:rFonts w:ascii="Arial" w:hAnsi="Arial" w:cs="Arial"/>
          <w:strike/>
        </w:rPr>
        <w:t>upright and in strikeout</w:t>
      </w:r>
    </w:p>
    <w:p w14:paraId="7BFEF831" w14:textId="77777777" w:rsidR="002F066A" w:rsidRPr="00E97B7B" w:rsidRDefault="002F066A" w:rsidP="00C57320">
      <w:pPr>
        <w:pStyle w:val="ListParagraph"/>
        <w:numPr>
          <w:ilvl w:val="0"/>
          <w:numId w:val="5"/>
        </w:numPr>
        <w:rPr>
          <w:rFonts w:ascii="Arial" w:hAnsi="Arial" w:cs="Arial"/>
        </w:rPr>
      </w:pPr>
      <w:r w:rsidRPr="00E97B7B">
        <w:rPr>
          <w:rFonts w:ascii="Arial" w:hAnsi="Arial" w:cs="Arial"/>
        </w:rPr>
        <w:t xml:space="preserve">Repealed California amendments appear in </w:t>
      </w:r>
      <w:r w:rsidRPr="00E97B7B">
        <w:rPr>
          <w:rFonts w:ascii="Arial" w:hAnsi="Arial" w:cs="Arial"/>
          <w:i/>
          <w:strike/>
        </w:rPr>
        <w:t>italic and strikeout</w:t>
      </w:r>
    </w:p>
    <w:p w14:paraId="7F847A7D" w14:textId="77777777" w:rsidR="002F066A" w:rsidRPr="00E97B7B" w:rsidRDefault="002F066A" w:rsidP="00C57320">
      <w:pPr>
        <w:pStyle w:val="ListParagraph"/>
        <w:numPr>
          <w:ilvl w:val="0"/>
          <w:numId w:val="5"/>
        </w:numPr>
        <w:rPr>
          <w:rFonts w:ascii="Arial" w:hAnsi="Arial" w:cs="Arial"/>
        </w:rPr>
      </w:pPr>
      <w:r w:rsidRPr="00E97B7B">
        <w:rPr>
          <w:rFonts w:ascii="Arial" w:hAnsi="Arial" w:cs="Arial"/>
        </w:rPr>
        <w:t xml:space="preserve">Ellipsis </w:t>
      </w:r>
      <w:proofErr w:type="gramStart"/>
      <w:r w:rsidRPr="00E97B7B">
        <w:rPr>
          <w:rFonts w:ascii="Arial" w:hAnsi="Arial" w:cs="Arial"/>
          <w:szCs w:val="24"/>
        </w:rPr>
        <w:t>(</w:t>
      </w:r>
      <w:r w:rsidR="008A6CD2" w:rsidRPr="00E97B7B">
        <w:rPr>
          <w:rFonts w:ascii="Arial" w:hAnsi="Arial" w:cs="Arial"/>
          <w:sz w:val="2"/>
          <w:szCs w:val="2"/>
        </w:rPr>
        <w:t xml:space="preserve"> </w:t>
      </w:r>
      <w:r w:rsidRPr="00E97B7B">
        <w:rPr>
          <w:rFonts w:ascii="Arial" w:eastAsia="Times New Roman" w:hAnsi="Arial" w:cs="Arial"/>
          <w:szCs w:val="24"/>
          <w:lang w:eastAsia="ko-KR"/>
        </w:rPr>
        <w:t>...</w:t>
      </w:r>
      <w:proofErr w:type="gramEnd"/>
      <w:r w:rsidRPr="00E97B7B">
        <w:rPr>
          <w:rFonts w:ascii="Arial" w:eastAsia="Times New Roman" w:hAnsi="Arial" w:cs="Arial"/>
          <w:szCs w:val="24"/>
          <w:lang w:eastAsia="ko-KR"/>
        </w:rPr>
        <w:t>)</w:t>
      </w:r>
      <w:r w:rsidRPr="00E97B7B">
        <w:rPr>
          <w:rFonts w:ascii="Arial" w:eastAsia="Times New Roman" w:hAnsi="Arial" w:cs="Arial"/>
          <w:lang w:eastAsia="ko-KR"/>
        </w:rPr>
        <w:t xml:space="preserve"> indicate existing text remains unchanged</w:t>
      </w:r>
    </w:p>
    <w:bookmarkEnd w:id="0"/>
    <w:p w14:paraId="1DB50272" w14:textId="77777777" w:rsidR="002F066A" w:rsidRPr="00E97B7B" w:rsidRDefault="002F066A" w:rsidP="002F066A">
      <w:pPr>
        <w:pStyle w:val="BodyText3"/>
        <w:pBdr>
          <w:bottom w:val="single" w:sz="4" w:space="1" w:color="auto"/>
        </w:pBdr>
        <w:spacing w:after="240" w:line="276" w:lineRule="auto"/>
        <w:jc w:val="left"/>
        <w:rPr>
          <w:rFonts w:ascii="Arial" w:hAnsi="Arial" w:cs="Arial"/>
          <w:szCs w:val="24"/>
        </w:rPr>
      </w:pPr>
    </w:p>
    <w:p w14:paraId="442B8D61" w14:textId="77777777" w:rsidR="000257AD" w:rsidRPr="00E97B7B" w:rsidRDefault="00F163D3" w:rsidP="00957E07">
      <w:pPr>
        <w:pStyle w:val="Heading1"/>
        <w:spacing w:before="80" w:after="60"/>
        <w:rPr>
          <w:rFonts w:cs="Arial"/>
          <w:bCs/>
        </w:rPr>
      </w:pPr>
      <w:r w:rsidRPr="00E97B7B">
        <w:rPr>
          <w:rFonts w:cs="Arial"/>
        </w:rPr>
        <w:t>INITIAL</w:t>
      </w:r>
      <w:r w:rsidR="006D74C1" w:rsidRPr="00E97B7B">
        <w:rPr>
          <w:rFonts w:cs="Arial"/>
        </w:rPr>
        <w:t xml:space="preserve"> </w:t>
      </w:r>
      <w:r w:rsidR="000257AD" w:rsidRPr="00E97B7B">
        <w:rPr>
          <w:rFonts w:cs="Arial"/>
        </w:rPr>
        <w:t>EXPRESS TERMS</w:t>
      </w:r>
    </w:p>
    <w:p w14:paraId="08F0C672" w14:textId="44E581A7" w:rsidR="002C03CE" w:rsidRPr="00E97B7B" w:rsidRDefault="002C03CE" w:rsidP="008E0E16">
      <w:pPr>
        <w:pStyle w:val="Heading1"/>
        <w:spacing w:before="60"/>
        <w:rPr>
          <w:rFonts w:cs="Arial"/>
          <w:noProof/>
        </w:rPr>
      </w:pPr>
      <w:r w:rsidRPr="00E97B7B">
        <w:rPr>
          <w:rFonts w:cs="Arial"/>
        </w:rPr>
        <w:t xml:space="preserve">Item </w:t>
      </w:r>
      <w:r w:rsidR="005B2371" w:rsidRPr="00E97B7B">
        <w:rPr>
          <w:rFonts w:cs="Arial"/>
          <w:noProof/>
        </w:rPr>
        <w:t>1</w:t>
      </w:r>
      <w:r w:rsidR="008E0E16" w:rsidRPr="00E97B7B">
        <w:rPr>
          <w:rFonts w:cs="Arial"/>
        </w:rPr>
        <w:br/>
      </w:r>
      <w:r w:rsidRPr="00E97B7B">
        <w:rPr>
          <w:rFonts w:cs="Arial"/>
        </w:rPr>
        <w:t xml:space="preserve">Chapter </w:t>
      </w:r>
      <w:r w:rsidR="00E97B7B" w:rsidRPr="00E97B7B">
        <w:rPr>
          <w:rFonts w:cs="Arial"/>
          <w:noProof/>
        </w:rPr>
        <w:t>4</w:t>
      </w:r>
      <w:r w:rsidR="00AD67B3" w:rsidRPr="00E97B7B">
        <w:rPr>
          <w:rFonts w:cs="Arial"/>
          <w:noProof/>
        </w:rPr>
        <w:t xml:space="preserve">, </w:t>
      </w:r>
      <w:r w:rsidRPr="00E97B7B">
        <w:rPr>
          <w:rFonts w:cs="Arial"/>
        </w:rPr>
        <w:t xml:space="preserve">Section </w:t>
      </w:r>
      <w:r w:rsidR="00E97B7B" w:rsidRPr="00E97B7B">
        <w:rPr>
          <w:rFonts w:cs="Arial"/>
          <w:noProof/>
        </w:rPr>
        <w:t>401</w:t>
      </w:r>
    </w:p>
    <w:p w14:paraId="5CEE3320" w14:textId="6350BA86" w:rsidR="00784B02" w:rsidRPr="00784B02" w:rsidRDefault="00784B02" w:rsidP="00562BB3">
      <w:pPr>
        <w:spacing w:before="120"/>
        <w:rPr>
          <w:rFonts w:ascii="Arial" w:hAnsi="Arial" w:cs="Arial"/>
          <w:b/>
          <w:bCs/>
          <w:i/>
          <w:iCs/>
          <w:noProof/>
        </w:rPr>
      </w:pPr>
      <w:r w:rsidRPr="00784B02">
        <w:rPr>
          <w:rFonts w:ascii="Arial" w:hAnsi="Arial" w:cs="Arial"/>
          <w:b/>
          <w:bCs/>
          <w:i/>
          <w:iCs/>
          <w:noProof/>
        </w:rPr>
        <w:t>401.3 Water-conserving fixtures and fittings.</w:t>
      </w:r>
    </w:p>
    <w:p w14:paraId="12BAF305" w14:textId="30AFA232" w:rsidR="00E97B7B" w:rsidRPr="00E97B7B" w:rsidRDefault="00E97B7B" w:rsidP="00562BB3">
      <w:pPr>
        <w:spacing w:before="120"/>
        <w:rPr>
          <w:rFonts w:ascii="Arial" w:hAnsi="Arial" w:cs="Arial"/>
          <w:noProof/>
        </w:rPr>
      </w:pPr>
      <w:r w:rsidRPr="00E97B7B">
        <w:rPr>
          <w:rFonts w:ascii="Arial" w:hAnsi="Arial" w:cs="Arial"/>
          <w:noProof/>
        </w:rPr>
        <w:t>[…]</w:t>
      </w:r>
    </w:p>
    <w:p w14:paraId="7DFE9472" w14:textId="76CA4DCB" w:rsidR="00E97B7B" w:rsidRPr="00E97B7B" w:rsidRDefault="00784B02" w:rsidP="0067358F">
      <w:pPr>
        <w:spacing w:before="120"/>
        <w:ind w:left="720"/>
        <w:rPr>
          <w:rFonts w:ascii="Arial" w:hAnsi="Arial" w:cs="Arial"/>
          <w:i/>
          <w:iCs/>
          <w:noProof/>
          <w:u w:val="single"/>
        </w:rPr>
      </w:pPr>
      <w:r>
        <w:rPr>
          <w:rFonts w:ascii="Arial" w:hAnsi="Arial" w:cs="Arial"/>
          <w:b/>
          <w:bCs/>
          <w:i/>
          <w:iCs/>
          <w:noProof/>
          <w:u w:val="single"/>
        </w:rPr>
        <w:t>Note 4:</w:t>
      </w:r>
      <w:r w:rsidR="00E97B7B" w:rsidRPr="00E97B7B">
        <w:rPr>
          <w:rFonts w:ascii="Arial" w:hAnsi="Arial" w:cs="Arial"/>
          <w:b/>
          <w:bCs/>
          <w:i/>
          <w:iCs/>
          <w:noProof/>
          <w:u w:val="single"/>
        </w:rPr>
        <w:t xml:space="preserve"> Appliance Efficiency Regulations – Water Efficiency.</w:t>
      </w:r>
      <w:r w:rsidR="00E97B7B" w:rsidRPr="00E97B7B">
        <w:rPr>
          <w:rFonts w:ascii="Arial" w:hAnsi="Arial" w:cs="Arial"/>
          <w:i/>
          <w:iCs/>
          <w:noProof/>
          <w:u w:val="single"/>
        </w:rPr>
        <w:t xml:space="preserve">  Where California law in Title 20 Section 1601 et seq. applying to water-using appliances sold or offered for sale within the state specifies a lower maximum flow rate than specified in Section 407.2, 408.2, or 411.2, the lower maximum flow rate shall apply.</w:t>
      </w:r>
    </w:p>
    <w:p w14:paraId="2E392623" w14:textId="048F06A5" w:rsidR="002C03CE" w:rsidRPr="00E97B7B" w:rsidRDefault="002C03CE" w:rsidP="00562BB3">
      <w:pPr>
        <w:spacing w:before="120"/>
        <w:rPr>
          <w:rFonts w:ascii="Arial" w:hAnsi="Arial" w:cs="Arial"/>
        </w:rPr>
      </w:pPr>
      <w:r w:rsidRPr="00E97B7B">
        <w:rPr>
          <w:rFonts w:ascii="Arial" w:hAnsi="Arial" w:cs="Arial"/>
          <w:b/>
        </w:rPr>
        <w:t>Notation:</w:t>
      </w:r>
    </w:p>
    <w:p w14:paraId="4CA9EA74" w14:textId="77777777" w:rsidR="00BF78BF" w:rsidRDefault="00BF78BF" w:rsidP="00BF78BF">
      <w:pPr>
        <w:spacing w:before="120"/>
        <w:rPr>
          <w:rFonts w:ascii="Arial" w:hAnsi="Arial" w:cs="Arial"/>
          <w:snapToGrid/>
        </w:rPr>
      </w:pPr>
      <w:r>
        <w:rPr>
          <w:rFonts w:ascii="Arial" w:hAnsi="Arial" w:cs="Arial"/>
        </w:rPr>
        <w:t xml:space="preserve">Authority: </w:t>
      </w:r>
      <w:r>
        <w:rPr>
          <w:rFonts w:ascii="Arial" w:hAnsi="Arial" w:cs="Arial"/>
          <w:noProof/>
        </w:rPr>
        <w:t>Sections 25213, 25218, 25218.5, 25402 and 25402.1, Public Resources Code</w:t>
      </w:r>
    </w:p>
    <w:p w14:paraId="2D9431C5" w14:textId="77777777" w:rsidR="00BF78BF" w:rsidRDefault="00BF78BF" w:rsidP="00BF78BF">
      <w:pPr>
        <w:spacing w:before="120"/>
        <w:rPr>
          <w:rFonts w:ascii="Arial" w:hAnsi="Arial" w:cs="Arial"/>
          <w:noProof/>
        </w:rPr>
      </w:pPr>
      <w:r>
        <w:rPr>
          <w:rFonts w:ascii="Arial" w:hAnsi="Arial" w:cs="Arial"/>
        </w:rPr>
        <w:t xml:space="preserve">Reference(s): </w:t>
      </w:r>
      <w:r>
        <w:rPr>
          <w:rFonts w:ascii="Arial" w:hAnsi="Arial" w:cs="Arial"/>
          <w:noProof/>
        </w:rPr>
        <w:t>Sections 25007, 25008, 25218.5, 25310, 25402, 25402.1, 25402.4, 25402.8, and 25943, Public Resources Code</w:t>
      </w:r>
    </w:p>
    <w:p w14:paraId="2DF98A18" w14:textId="77777777" w:rsidR="00E97B7B" w:rsidRPr="00E97B7B" w:rsidRDefault="00E97B7B">
      <w:pPr>
        <w:widowControl/>
        <w:rPr>
          <w:rFonts w:ascii="Arial" w:hAnsi="Arial" w:cs="Arial"/>
          <w:b/>
        </w:rPr>
      </w:pPr>
      <w:r w:rsidRPr="00E97B7B">
        <w:rPr>
          <w:rFonts w:ascii="Arial" w:hAnsi="Arial" w:cs="Arial"/>
        </w:rPr>
        <w:br w:type="page"/>
      </w:r>
    </w:p>
    <w:p w14:paraId="37F584C9" w14:textId="100F1732" w:rsidR="00E97B7B" w:rsidRPr="00E97B7B" w:rsidRDefault="00E97B7B" w:rsidP="00E97B7B">
      <w:pPr>
        <w:pStyle w:val="Heading1"/>
        <w:spacing w:before="60"/>
        <w:rPr>
          <w:rFonts w:cs="Arial"/>
          <w:noProof/>
        </w:rPr>
      </w:pPr>
      <w:r w:rsidRPr="00E97B7B">
        <w:rPr>
          <w:rFonts w:cs="Arial"/>
        </w:rPr>
        <w:lastRenderedPageBreak/>
        <w:t xml:space="preserve">Item </w:t>
      </w:r>
      <w:r w:rsidRPr="00E97B7B">
        <w:rPr>
          <w:rFonts w:cs="Arial"/>
          <w:noProof/>
        </w:rPr>
        <w:t>2</w:t>
      </w:r>
      <w:r w:rsidRPr="00E97B7B">
        <w:rPr>
          <w:rFonts w:cs="Arial"/>
        </w:rPr>
        <w:br/>
        <w:t xml:space="preserve">Chapter </w:t>
      </w:r>
      <w:r w:rsidRPr="00E97B7B">
        <w:rPr>
          <w:rFonts w:cs="Arial"/>
          <w:noProof/>
        </w:rPr>
        <w:t xml:space="preserve">5, </w:t>
      </w:r>
      <w:r w:rsidRPr="00E97B7B">
        <w:rPr>
          <w:rFonts w:cs="Arial"/>
        </w:rPr>
        <w:t xml:space="preserve">Section </w:t>
      </w:r>
      <w:r w:rsidRPr="00E97B7B">
        <w:rPr>
          <w:rFonts w:cs="Arial"/>
          <w:noProof/>
        </w:rPr>
        <w:t>501</w:t>
      </w:r>
    </w:p>
    <w:p w14:paraId="03A49C47" w14:textId="229C85BB" w:rsidR="00784B02" w:rsidRPr="00784B02" w:rsidRDefault="00784B02" w:rsidP="00E97B7B">
      <w:pPr>
        <w:spacing w:before="120"/>
        <w:rPr>
          <w:rFonts w:ascii="Arial" w:hAnsi="Arial" w:cs="Arial"/>
          <w:b/>
          <w:bCs/>
          <w:noProof/>
        </w:rPr>
      </w:pPr>
      <w:r w:rsidRPr="00784B02">
        <w:rPr>
          <w:rFonts w:ascii="Arial" w:hAnsi="Arial" w:cs="Arial"/>
          <w:b/>
          <w:bCs/>
          <w:noProof/>
        </w:rPr>
        <w:t>501.0 General.</w:t>
      </w:r>
    </w:p>
    <w:p w14:paraId="5D524EB4" w14:textId="59649B3F" w:rsidR="00E97B7B" w:rsidRPr="00E97B7B" w:rsidRDefault="00E97B7B" w:rsidP="00E97B7B">
      <w:pPr>
        <w:spacing w:before="120"/>
        <w:rPr>
          <w:rFonts w:ascii="Arial" w:hAnsi="Arial" w:cs="Arial"/>
          <w:noProof/>
        </w:rPr>
      </w:pPr>
      <w:r w:rsidRPr="00E97B7B">
        <w:rPr>
          <w:rFonts w:ascii="Arial" w:hAnsi="Arial" w:cs="Arial"/>
          <w:noProof/>
        </w:rPr>
        <w:t>[…]</w:t>
      </w:r>
    </w:p>
    <w:p w14:paraId="7E4970C9" w14:textId="77777777" w:rsidR="00E97B7B" w:rsidRPr="00E97B7B" w:rsidRDefault="00E97B7B" w:rsidP="00E97B7B">
      <w:pPr>
        <w:spacing w:before="120"/>
        <w:rPr>
          <w:rFonts w:ascii="Arial" w:hAnsi="Arial" w:cs="Arial"/>
          <w:i/>
          <w:iCs/>
          <w:u w:val="single"/>
        </w:rPr>
      </w:pPr>
      <w:r w:rsidRPr="00E97B7B">
        <w:rPr>
          <w:rFonts w:ascii="Arial" w:hAnsi="Arial" w:cs="Arial"/>
          <w:b/>
          <w:bCs/>
          <w:i/>
          <w:iCs/>
          <w:u w:val="single"/>
        </w:rPr>
        <w:t>501.2. Energy Code Water Heating System Requirements.</w:t>
      </w:r>
      <w:r w:rsidRPr="00E97B7B">
        <w:rPr>
          <w:rFonts w:ascii="Arial" w:hAnsi="Arial" w:cs="Arial"/>
          <w:i/>
          <w:iCs/>
          <w:u w:val="single"/>
        </w:rPr>
        <w:t xml:space="preserve"> See California Energy Code Section 110.3 for additional mandatory requirements applicable to all service water heating systems, and 150.0(n) for additional mandatory requirements applicable to residential service water heating systems.</w:t>
      </w:r>
    </w:p>
    <w:p w14:paraId="05268FE3" w14:textId="6E4F9664" w:rsidR="00E97B7B" w:rsidRPr="00E97B7B" w:rsidRDefault="00E97B7B" w:rsidP="00E97B7B">
      <w:pPr>
        <w:spacing w:before="120"/>
        <w:rPr>
          <w:rFonts w:ascii="Arial" w:hAnsi="Arial" w:cs="Arial"/>
        </w:rPr>
      </w:pPr>
      <w:r w:rsidRPr="00E97B7B">
        <w:rPr>
          <w:rFonts w:ascii="Arial" w:hAnsi="Arial" w:cs="Arial"/>
          <w:b/>
        </w:rPr>
        <w:t>Notation:</w:t>
      </w:r>
    </w:p>
    <w:p w14:paraId="70C9B1A5" w14:textId="77777777" w:rsidR="00BF78BF" w:rsidRDefault="00BF78BF" w:rsidP="00BF78BF">
      <w:pPr>
        <w:spacing w:before="120"/>
        <w:rPr>
          <w:rFonts w:ascii="Arial" w:hAnsi="Arial" w:cs="Arial"/>
          <w:snapToGrid/>
        </w:rPr>
      </w:pPr>
      <w:r>
        <w:rPr>
          <w:rFonts w:ascii="Arial" w:hAnsi="Arial" w:cs="Arial"/>
        </w:rPr>
        <w:t xml:space="preserve">Authority: </w:t>
      </w:r>
      <w:r>
        <w:rPr>
          <w:rFonts w:ascii="Arial" w:hAnsi="Arial" w:cs="Arial"/>
          <w:noProof/>
        </w:rPr>
        <w:t>Sections 25213, 25218, 25218.5, 25402 and 25402.1, Public Resources Code</w:t>
      </w:r>
    </w:p>
    <w:p w14:paraId="04B10BF1" w14:textId="77777777" w:rsidR="00BF78BF" w:rsidRDefault="00BF78BF" w:rsidP="00BF78BF">
      <w:pPr>
        <w:spacing w:before="120"/>
        <w:rPr>
          <w:rFonts w:ascii="Arial" w:hAnsi="Arial" w:cs="Arial"/>
          <w:noProof/>
        </w:rPr>
      </w:pPr>
      <w:r>
        <w:rPr>
          <w:rFonts w:ascii="Arial" w:hAnsi="Arial" w:cs="Arial"/>
        </w:rPr>
        <w:t xml:space="preserve">Reference(s): </w:t>
      </w:r>
      <w:r>
        <w:rPr>
          <w:rFonts w:ascii="Arial" w:hAnsi="Arial" w:cs="Arial"/>
          <w:noProof/>
        </w:rPr>
        <w:t>Sections 25007, 25008, 25218.5, 25310, 25402, 25402.1, 25402.4, 25402.8, and 25943, Public Resources Code</w:t>
      </w:r>
    </w:p>
    <w:p w14:paraId="3FBA5B79" w14:textId="3F897BCF" w:rsidR="00E97B7B" w:rsidRPr="00E97B7B" w:rsidRDefault="00E97B7B" w:rsidP="00E97B7B">
      <w:pPr>
        <w:pStyle w:val="Heading1"/>
        <w:spacing w:before="60"/>
        <w:rPr>
          <w:rFonts w:cs="Arial"/>
          <w:noProof/>
        </w:rPr>
      </w:pPr>
      <w:r w:rsidRPr="00E97B7B">
        <w:rPr>
          <w:rFonts w:cs="Arial"/>
        </w:rPr>
        <w:t xml:space="preserve">Item </w:t>
      </w:r>
      <w:r w:rsidRPr="00E97B7B">
        <w:rPr>
          <w:rFonts w:cs="Arial"/>
          <w:noProof/>
        </w:rPr>
        <w:t>3</w:t>
      </w:r>
      <w:r w:rsidRPr="00E97B7B">
        <w:rPr>
          <w:rFonts w:cs="Arial"/>
        </w:rPr>
        <w:br/>
        <w:t xml:space="preserve">Chapter </w:t>
      </w:r>
      <w:r w:rsidRPr="00E97B7B">
        <w:rPr>
          <w:rFonts w:cs="Arial"/>
          <w:noProof/>
        </w:rPr>
        <w:t xml:space="preserve">6, </w:t>
      </w:r>
      <w:r w:rsidRPr="00E97B7B">
        <w:rPr>
          <w:rFonts w:cs="Arial"/>
        </w:rPr>
        <w:t xml:space="preserve">Section </w:t>
      </w:r>
      <w:r w:rsidRPr="00E97B7B">
        <w:rPr>
          <w:rFonts w:cs="Arial"/>
          <w:noProof/>
        </w:rPr>
        <w:t>609.12</w:t>
      </w:r>
    </w:p>
    <w:p w14:paraId="7A9D5D3B" w14:textId="03A67C6D" w:rsidR="00784B02" w:rsidRPr="00784B02" w:rsidRDefault="00784B02" w:rsidP="001A2265">
      <w:pPr>
        <w:tabs>
          <w:tab w:val="left" w:pos="8610"/>
        </w:tabs>
        <w:spacing w:before="120"/>
        <w:rPr>
          <w:rFonts w:ascii="Arial" w:hAnsi="Arial" w:cs="Arial"/>
          <w:b/>
          <w:bCs/>
          <w:noProof/>
        </w:rPr>
      </w:pPr>
      <w:r w:rsidRPr="00784B02">
        <w:rPr>
          <w:rFonts w:ascii="Arial" w:hAnsi="Arial" w:cs="Arial"/>
          <w:b/>
          <w:bCs/>
          <w:noProof/>
        </w:rPr>
        <w:t>609.12 Pipe Insulation.</w:t>
      </w:r>
      <w:r w:rsidR="001A2265">
        <w:rPr>
          <w:rFonts w:ascii="Arial" w:hAnsi="Arial" w:cs="Arial"/>
          <w:b/>
          <w:bCs/>
          <w:noProof/>
        </w:rPr>
        <w:tab/>
      </w:r>
    </w:p>
    <w:p w14:paraId="625C53CC" w14:textId="4A174ACC" w:rsidR="00E97B7B" w:rsidRPr="00E97B7B" w:rsidRDefault="00E97B7B" w:rsidP="00E97B7B">
      <w:pPr>
        <w:spacing w:before="120"/>
        <w:rPr>
          <w:rFonts w:ascii="Arial" w:hAnsi="Arial" w:cs="Arial"/>
          <w:noProof/>
        </w:rPr>
      </w:pPr>
      <w:r w:rsidRPr="00E97B7B">
        <w:rPr>
          <w:rFonts w:ascii="Arial" w:hAnsi="Arial" w:cs="Arial"/>
          <w:noProof/>
        </w:rPr>
        <w:t>[…]</w:t>
      </w:r>
    </w:p>
    <w:p w14:paraId="6B541270" w14:textId="60F0791E" w:rsidR="00E97B7B" w:rsidRPr="00E97B7B" w:rsidRDefault="00E97B7B" w:rsidP="00E97B7B">
      <w:pPr>
        <w:spacing w:before="120"/>
        <w:rPr>
          <w:rFonts w:ascii="Arial" w:hAnsi="Arial" w:cs="Arial"/>
          <w:i/>
          <w:iCs/>
          <w:u w:val="single"/>
        </w:rPr>
      </w:pPr>
      <w:r w:rsidRPr="00E97B7B">
        <w:rPr>
          <w:rFonts w:ascii="Arial" w:hAnsi="Arial" w:cs="Arial"/>
          <w:b/>
          <w:bCs/>
          <w:i/>
          <w:iCs/>
          <w:u w:val="single"/>
        </w:rPr>
        <w:t xml:space="preserve">609.12.3 Energy Code Pipe Insulation Requirements. </w:t>
      </w:r>
      <w:r w:rsidRPr="00E97B7B">
        <w:rPr>
          <w:rFonts w:ascii="Arial" w:hAnsi="Arial" w:cs="Arial"/>
          <w:i/>
          <w:iCs/>
          <w:u w:val="single"/>
        </w:rPr>
        <w:t>See California Energy Code Sections 150.0(j)2 and 120.3(c) for general pipe insulation requirements based on fluid temperature and pipe diameter – for domestic hot water piping, the Energy Code requires that piping that penetrates metal framing shall use grommets, plugs, wrapping or other insulating material to assure that no contact is made with the metal framing, requires that insulation shall abut securely against all framing members, and places conditions on when installed wall or attic insulation that surrounds installed piping can be considered to provide pipe insulation meeting associated requirements.</w:t>
      </w:r>
    </w:p>
    <w:p w14:paraId="13543898" w14:textId="77777777" w:rsidR="00E97B7B" w:rsidRPr="00E97B7B" w:rsidRDefault="00E97B7B" w:rsidP="00E97B7B">
      <w:pPr>
        <w:spacing w:before="120"/>
        <w:rPr>
          <w:rFonts w:ascii="Arial" w:hAnsi="Arial" w:cs="Arial"/>
        </w:rPr>
      </w:pPr>
      <w:r w:rsidRPr="00E97B7B">
        <w:rPr>
          <w:rFonts w:ascii="Arial" w:hAnsi="Arial" w:cs="Arial"/>
          <w:b/>
        </w:rPr>
        <w:t>Notation:</w:t>
      </w:r>
    </w:p>
    <w:p w14:paraId="0B73CDF8" w14:textId="77777777" w:rsidR="00BF78BF" w:rsidRDefault="00BF78BF" w:rsidP="00BF78BF">
      <w:pPr>
        <w:spacing w:before="120"/>
        <w:rPr>
          <w:rFonts w:ascii="Arial" w:hAnsi="Arial" w:cs="Arial"/>
          <w:snapToGrid/>
        </w:rPr>
      </w:pPr>
      <w:r>
        <w:rPr>
          <w:rFonts w:ascii="Arial" w:hAnsi="Arial" w:cs="Arial"/>
        </w:rPr>
        <w:t xml:space="preserve">Authority: </w:t>
      </w:r>
      <w:r>
        <w:rPr>
          <w:rFonts w:ascii="Arial" w:hAnsi="Arial" w:cs="Arial"/>
          <w:noProof/>
        </w:rPr>
        <w:t>Sections 25213, 25218, 25218.5, 25402 and 25402.1, Public Resources Code</w:t>
      </w:r>
    </w:p>
    <w:p w14:paraId="74B164E1" w14:textId="77777777" w:rsidR="00BF78BF" w:rsidRDefault="00BF78BF" w:rsidP="00BF78BF">
      <w:pPr>
        <w:spacing w:before="120"/>
        <w:rPr>
          <w:rFonts w:ascii="Arial" w:hAnsi="Arial" w:cs="Arial"/>
          <w:noProof/>
        </w:rPr>
      </w:pPr>
      <w:r>
        <w:rPr>
          <w:rFonts w:ascii="Arial" w:hAnsi="Arial" w:cs="Arial"/>
        </w:rPr>
        <w:t xml:space="preserve">Reference(s): </w:t>
      </w:r>
      <w:r>
        <w:rPr>
          <w:rFonts w:ascii="Arial" w:hAnsi="Arial" w:cs="Arial"/>
          <w:noProof/>
        </w:rPr>
        <w:t>Sections 25007, 25008, 25218.5, 25310, 25402, 25402.1, 25402.4, 25402.8, and 25943, Public Resources Code</w:t>
      </w:r>
    </w:p>
    <w:p w14:paraId="49395819" w14:textId="77777777" w:rsidR="00E97B7B" w:rsidRPr="00E97B7B" w:rsidRDefault="00E97B7B" w:rsidP="002C03CE">
      <w:pPr>
        <w:spacing w:before="120"/>
        <w:rPr>
          <w:rFonts w:ascii="Arial" w:hAnsi="Arial" w:cs="Arial"/>
        </w:rPr>
      </w:pPr>
    </w:p>
    <w:sectPr w:rsidR="00E97B7B" w:rsidRPr="00E97B7B" w:rsidSect="00957E07">
      <w:headerReference w:type="default" r:id="rId8"/>
      <w:footerReference w:type="default" r:id="rId9"/>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A4204" w14:textId="77777777" w:rsidR="0059225B" w:rsidRDefault="0059225B">
      <w:r>
        <w:separator/>
      </w:r>
    </w:p>
  </w:endnote>
  <w:endnote w:type="continuationSeparator" w:id="0">
    <w:p w14:paraId="5A91F38E" w14:textId="77777777" w:rsidR="0059225B" w:rsidRDefault="0059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3A4D9" w14:textId="77777777" w:rsidR="0067477E" w:rsidRDefault="0067477E">
    <w:pPr>
      <w:pStyle w:val="Footer"/>
      <w:tabs>
        <w:tab w:val="clear" w:pos="4320"/>
        <w:tab w:val="clear" w:pos="8640"/>
        <w:tab w:val="center" w:pos="4806"/>
        <w:tab w:val="right" w:pos="6696"/>
      </w:tabs>
      <w:ind w:left="108"/>
      <w:rPr>
        <w:rFonts w:ascii="Arial" w:hAnsi="Arial" w:cs="Arial"/>
        <w:sz w:val="16"/>
      </w:rPr>
    </w:pPr>
  </w:p>
  <w:p w14:paraId="5F77EA81" w14:textId="4012F1C5" w:rsidR="0067477E" w:rsidRDefault="0067477E" w:rsidP="0067477E">
    <w:pPr>
      <w:pStyle w:val="Footer"/>
      <w:tabs>
        <w:tab w:val="clear" w:pos="4320"/>
        <w:tab w:val="clear" w:pos="8640"/>
        <w:tab w:val="right" w:pos="9180"/>
      </w:tabs>
      <w:ind w:left="108"/>
      <w:rPr>
        <w:sz w:val="16"/>
      </w:rPr>
    </w:pPr>
    <w:r w:rsidRPr="00B70204">
      <w:rPr>
        <w:rFonts w:ascii="Arial" w:hAnsi="Arial" w:cs="Arial"/>
        <w:sz w:val="16"/>
      </w:rPr>
      <w:t xml:space="preserve">BSC TP-121 (Rev. </w:t>
    </w:r>
    <w:r w:rsidR="00ED0ADA">
      <w:rPr>
        <w:rFonts w:ascii="Arial" w:hAnsi="Arial" w:cs="Arial"/>
        <w:sz w:val="16"/>
      </w:rPr>
      <w:t>10</w:t>
    </w:r>
    <w:r w:rsidRPr="00B70204">
      <w:rPr>
        <w:rFonts w:ascii="Arial" w:hAnsi="Arial" w:cs="Arial"/>
        <w:sz w:val="16"/>
      </w:rPr>
      <w:t>/</w:t>
    </w:r>
    <w:r w:rsidR="00713507">
      <w:rPr>
        <w:rFonts w:ascii="Arial" w:hAnsi="Arial" w:cs="Arial"/>
        <w:sz w:val="16"/>
      </w:rPr>
      <w:t>20</w:t>
    </w:r>
    <w:r w:rsidRPr="00B70204">
      <w:rPr>
        <w:rFonts w:ascii="Arial" w:hAnsi="Arial" w:cs="Arial"/>
        <w:sz w:val="16"/>
      </w:rPr>
      <w:t>) Initial Express Terms</w:t>
    </w:r>
    <w:r w:rsidR="00192601">
      <w:rPr>
        <w:rFonts w:ascii="Arial" w:hAnsi="Arial" w:cs="Arial"/>
        <w:sz w:val="16"/>
      </w:rPr>
      <w:tab/>
    </w:r>
    <w:r w:rsidR="00192601">
      <w:rPr>
        <w:sz w:val="16"/>
      </w:rPr>
      <w:t>2-23-21</w:t>
    </w:r>
  </w:p>
  <w:p w14:paraId="166C3041" w14:textId="469789B0" w:rsidR="0067477E" w:rsidRDefault="0058115F" w:rsidP="0067477E">
    <w:pPr>
      <w:pStyle w:val="Footer"/>
      <w:tabs>
        <w:tab w:val="clear" w:pos="4320"/>
        <w:tab w:val="clear" w:pos="8640"/>
        <w:tab w:val="center" w:pos="5040"/>
        <w:tab w:val="right" w:pos="9180"/>
      </w:tabs>
      <w:ind w:left="108"/>
      <w:rPr>
        <w:sz w:val="16"/>
      </w:rPr>
    </w:pPr>
    <w:r>
      <w:rPr>
        <w:rFonts w:ascii="Arial" w:hAnsi="Arial" w:cs="Arial"/>
        <w:sz w:val="16"/>
      </w:rPr>
      <w:t>CEC 02/21</w:t>
    </w:r>
    <w:r w:rsidR="0067477E" w:rsidRPr="00B70204">
      <w:rPr>
        <w:rFonts w:ascii="Arial" w:hAnsi="Arial" w:cs="Arial"/>
        <w:sz w:val="16"/>
      </w:rPr>
      <w:t>- Part</w:t>
    </w:r>
    <w:r w:rsidR="00192601">
      <w:rPr>
        <w:rFonts w:ascii="Arial" w:hAnsi="Arial" w:cs="Arial"/>
        <w:sz w:val="16"/>
      </w:rPr>
      <w:t xml:space="preserve"> 5- 2021 Triennial </w:t>
    </w:r>
    <w:r w:rsidR="0067477E" w:rsidRPr="00E65CE6">
      <w:rPr>
        <w:rFonts w:ascii="Arial" w:hAnsi="Arial" w:cs="Arial"/>
        <w:sz w:val="16"/>
      </w:rPr>
      <w:t>Code Cycle</w:t>
    </w:r>
    <w:r w:rsidR="0067477E">
      <w:rPr>
        <w:sz w:val="16"/>
      </w:rPr>
      <w:tab/>
    </w:r>
    <w:r w:rsidR="00192601">
      <w:rPr>
        <w:sz w:val="16"/>
      </w:rPr>
      <w:tab/>
      <w:t>CEC-01-21-IET-PT5-Initial</w:t>
    </w:r>
  </w:p>
  <w:p w14:paraId="4F83FBD6" w14:textId="309B2101" w:rsidR="0067477E" w:rsidRDefault="00192601" w:rsidP="0067477E">
    <w:pPr>
      <w:pStyle w:val="Footer"/>
      <w:tabs>
        <w:tab w:val="clear" w:pos="4320"/>
        <w:tab w:val="clear" w:pos="8640"/>
        <w:tab w:val="center" w:pos="4806"/>
        <w:tab w:val="right" w:pos="9180"/>
      </w:tabs>
      <w:ind w:left="108"/>
      <w:rPr>
        <w:sz w:val="16"/>
      </w:rPr>
    </w:pPr>
    <w:r>
      <w:rPr>
        <w:rFonts w:ascii="Arial" w:hAnsi="Arial" w:cs="Arial"/>
        <w:sz w:val="16"/>
      </w:rPr>
      <w:t>California Energy Commission</w:t>
    </w:r>
    <w:r w:rsidR="00921D6C">
      <w:rPr>
        <w:sz w:val="16"/>
      </w:rPr>
      <w:tab/>
    </w:r>
    <w:r w:rsidR="00921D6C">
      <w:rPr>
        <w:rStyle w:val="PageNumber"/>
        <w:rFonts w:ascii="Arial" w:hAnsi="Arial" w:cs="Arial"/>
        <w:sz w:val="16"/>
      </w:rPr>
      <w:t xml:space="preserve">Page </w:t>
    </w:r>
    <w:r w:rsidR="00921D6C" w:rsidRPr="00B1767F">
      <w:rPr>
        <w:rStyle w:val="PageNumber"/>
        <w:rFonts w:ascii="Arial" w:hAnsi="Arial" w:cs="Arial"/>
        <w:sz w:val="16"/>
      </w:rPr>
      <w:fldChar w:fldCharType="begin"/>
    </w:r>
    <w:r w:rsidR="00921D6C" w:rsidRPr="00B1767F">
      <w:rPr>
        <w:rStyle w:val="PageNumber"/>
        <w:rFonts w:ascii="Arial" w:hAnsi="Arial" w:cs="Arial"/>
        <w:sz w:val="16"/>
      </w:rPr>
      <w:instrText xml:space="preserve"> PAGE </w:instrText>
    </w:r>
    <w:r w:rsidR="00921D6C" w:rsidRPr="00B1767F">
      <w:rPr>
        <w:rStyle w:val="PageNumber"/>
        <w:rFonts w:ascii="Arial" w:hAnsi="Arial" w:cs="Arial"/>
        <w:sz w:val="16"/>
      </w:rPr>
      <w:fldChar w:fldCharType="separate"/>
    </w:r>
    <w:r w:rsidR="00921D6C">
      <w:rPr>
        <w:rStyle w:val="PageNumber"/>
        <w:rFonts w:ascii="Arial" w:hAnsi="Arial" w:cs="Arial"/>
        <w:sz w:val="16"/>
      </w:rPr>
      <w:t>1</w:t>
    </w:r>
    <w:r w:rsidR="00921D6C" w:rsidRPr="00B1767F">
      <w:rPr>
        <w:rStyle w:val="PageNumber"/>
        <w:rFonts w:ascii="Arial" w:hAnsi="Arial" w:cs="Arial"/>
        <w:sz w:val="16"/>
      </w:rPr>
      <w:fldChar w:fldCharType="end"/>
    </w:r>
    <w:r w:rsidR="00921D6C" w:rsidRPr="00B1767F">
      <w:rPr>
        <w:rStyle w:val="PageNumber"/>
        <w:rFonts w:ascii="Arial" w:hAnsi="Arial" w:cs="Arial"/>
        <w:sz w:val="16"/>
      </w:rPr>
      <w:t xml:space="preserve"> </w:t>
    </w:r>
  </w:p>
  <w:p w14:paraId="156132DC" w14:textId="77777777" w:rsidR="004624C8" w:rsidRPr="004624C8" w:rsidRDefault="004624C8" w:rsidP="00B7020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35112" w14:textId="77777777" w:rsidR="0059225B" w:rsidRDefault="0059225B">
      <w:r>
        <w:separator/>
      </w:r>
    </w:p>
  </w:footnote>
  <w:footnote w:type="continuationSeparator" w:id="0">
    <w:p w14:paraId="420EB909" w14:textId="77777777" w:rsidR="0059225B" w:rsidRDefault="00592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1A950" w14:textId="77777777"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12A94BF0" w14:textId="77777777"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3628E2"/>
    <w:multiLevelType w:val="hybridMultilevel"/>
    <w:tmpl w:val="37643E4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1B2B89"/>
    <w:multiLevelType w:val="hybridMultilevel"/>
    <w:tmpl w:val="C0BA5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69A"/>
    <w:rsid w:val="000006DA"/>
    <w:rsid w:val="00016692"/>
    <w:rsid w:val="000257AD"/>
    <w:rsid w:val="00050DCC"/>
    <w:rsid w:val="00061325"/>
    <w:rsid w:val="000A2D7E"/>
    <w:rsid w:val="000E24B4"/>
    <w:rsid w:val="000F25B5"/>
    <w:rsid w:val="00123F82"/>
    <w:rsid w:val="00137624"/>
    <w:rsid w:val="00140550"/>
    <w:rsid w:val="001701D4"/>
    <w:rsid w:val="00175449"/>
    <w:rsid w:val="00192601"/>
    <w:rsid w:val="001A2265"/>
    <w:rsid w:val="001A2431"/>
    <w:rsid w:val="001E635B"/>
    <w:rsid w:val="001E690C"/>
    <w:rsid w:val="001F3417"/>
    <w:rsid w:val="00203931"/>
    <w:rsid w:val="00234A84"/>
    <w:rsid w:val="00237349"/>
    <w:rsid w:val="002604E2"/>
    <w:rsid w:val="0027362E"/>
    <w:rsid w:val="002A2507"/>
    <w:rsid w:val="002A4D52"/>
    <w:rsid w:val="002A55E0"/>
    <w:rsid w:val="002C03CE"/>
    <w:rsid w:val="002C62F7"/>
    <w:rsid w:val="002E03D9"/>
    <w:rsid w:val="002F066A"/>
    <w:rsid w:val="002F34EB"/>
    <w:rsid w:val="0030639B"/>
    <w:rsid w:val="00394567"/>
    <w:rsid w:val="003A5EC5"/>
    <w:rsid w:val="003F7FD6"/>
    <w:rsid w:val="004259A3"/>
    <w:rsid w:val="00457CDC"/>
    <w:rsid w:val="004624C8"/>
    <w:rsid w:val="004A129E"/>
    <w:rsid w:val="004B2AB9"/>
    <w:rsid w:val="004B61C2"/>
    <w:rsid w:val="004C0306"/>
    <w:rsid w:val="00507BB7"/>
    <w:rsid w:val="00513451"/>
    <w:rsid w:val="00562BB3"/>
    <w:rsid w:val="00566465"/>
    <w:rsid w:val="0058115F"/>
    <w:rsid w:val="0059225B"/>
    <w:rsid w:val="005B2371"/>
    <w:rsid w:val="005E0E82"/>
    <w:rsid w:val="005E162F"/>
    <w:rsid w:val="005E6371"/>
    <w:rsid w:val="005F1F14"/>
    <w:rsid w:val="0067358F"/>
    <w:rsid w:val="0067477E"/>
    <w:rsid w:val="006A2DAE"/>
    <w:rsid w:val="006D74C1"/>
    <w:rsid w:val="00700726"/>
    <w:rsid w:val="0070359F"/>
    <w:rsid w:val="00704C9C"/>
    <w:rsid w:val="007105E9"/>
    <w:rsid w:val="00713507"/>
    <w:rsid w:val="00723F31"/>
    <w:rsid w:val="007318E3"/>
    <w:rsid w:val="007518FF"/>
    <w:rsid w:val="00784B02"/>
    <w:rsid w:val="007872FD"/>
    <w:rsid w:val="007C0129"/>
    <w:rsid w:val="00810A22"/>
    <w:rsid w:val="00817F6B"/>
    <w:rsid w:val="00823527"/>
    <w:rsid w:val="00866236"/>
    <w:rsid w:val="00870778"/>
    <w:rsid w:val="008A2AC5"/>
    <w:rsid w:val="008A6CD2"/>
    <w:rsid w:val="008B4B9E"/>
    <w:rsid w:val="008D4AD2"/>
    <w:rsid w:val="008E0E16"/>
    <w:rsid w:val="008E36A8"/>
    <w:rsid w:val="00920F3B"/>
    <w:rsid w:val="00921D6C"/>
    <w:rsid w:val="00957E07"/>
    <w:rsid w:val="00992CB9"/>
    <w:rsid w:val="009A09B4"/>
    <w:rsid w:val="009A693A"/>
    <w:rsid w:val="009E6B12"/>
    <w:rsid w:val="009E7724"/>
    <w:rsid w:val="00A21DD3"/>
    <w:rsid w:val="00A60598"/>
    <w:rsid w:val="00A60CA1"/>
    <w:rsid w:val="00A97432"/>
    <w:rsid w:val="00AA1609"/>
    <w:rsid w:val="00AA21C3"/>
    <w:rsid w:val="00AC1F10"/>
    <w:rsid w:val="00AC6024"/>
    <w:rsid w:val="00AD0174"/>
    <w:rsid w:val="00AD67B3"/>
    <w:rsid w:val="00AF4E96"/>
    <w:rsid w:val="00B16711"/>
    <w:rsid w:val="00B21B81"/>
    <w:rsid w:val="00B35333"/>
    <w:rsid w:val="00B70204"/>
    <w:rsid w:val="00BA52A0"/>
    <w:rsid w:val="00BC0A2A"/>
    <w:rsid w:val="00BC7FAB"/>
    <w:rsid w:val="00BD6A83"/>
    <w:rsid w:val="00BF78BF"/>
    <w:rsid w:val="00C001E2"/>
    <w:rsid w:val="00C14134"/>
    <w:rsid w:val="00C57320"/>
    <w:rsid w:val="00C64A99"/>
    <w:rsid w:val="00C67B72"/>
    <w:rsid w:val="00C921C7"/>
    <w:rsid w:val="00CC2CDF"/>
    <w:rsid w:val="00CF3372"/>
    <w:rsid w:val="00D406E8"/>
    <w:rsid w:val="00D62860"/>
    <w:rsid w:val="00D72A17"/>
    <w:rsid w:val="00D91AE2"/>
    <w:rsid w:val="00DA2A4A"/>
    <w:rsid w:val="00DB4F0C"/>
    <w:rsid w:val="00E3790F"/>
    <w:rsid w:val="00E434EC"/>
    <w:rsid w:val="00E53D35"/>
    <w:rsid w:val="00E63331"/>
    <w:rsid w:val="00E65CE6"/>
    <w:rsid w:val="00E80470"/>
    <w:rsid w:val="00E97B7B"/>
    <w:rsid w:val="00EB2BA3"/>
    <w:rsid w:val="00ED0ADA"/>
    <w:rsid w:val="00EF26E2"/>
    <w:rsid w:val="00F06528"/>
    <w:rsid w:val="00F152F2"/>
    <w:rsid w:val="00F163D3"/>
    <w:rsid w:val="00F17139"/>
    <w:rsid w:val="00F714C4"/>
    <w:rsid w:val="00F768B4"/>
    <w:rsid w:val="00F94286"/>
    <w:rsid w:val="00FB1D64"/>
    <w:rsid w:val="00FB7064"/>
    <w:rsid w:val="00FD45EA"/>
    <w:rsid w:val="00FF11EA"/>
    <w:rsid w:val="00FF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FD88E6"/>
  <w15:docId w15:val="{1A7F842B-0698-455E-8629-82ABFF24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Helvetica" w:hAnsi="Helvetica"/>
      <w:snapToGrid w:val="0"/>
      <w:sz w:val="24"/>
    </w:rPr>
  </w:style>
  <w:style w:type="paragraph" w:styleId="Heading1">
    <w:name w:val="heading 1"/>
    <w:basedOn w:val="Normal"/>
    <w:next w:val="Normal"/>
    <w:qFormat/>
    <w:rsid w:val="00AC6024"/>
    <w:pPr>
      <w:keepNext/>
      <w:widowControl/>
      <w:tabs>
        <w:tab w:val="center" w:pos="4680"/>
      </w:tabs>
      <w:spacing w:line="320" w:lineRule="exact"/>
      <w:outlineLvl w:val="0"/>
    </w:pPr>
    <w:rPr>
      <w:rFonts w:ascii="Arial" w:hAnsi="Arial"/>
      <w:b/>
    </w:rPr>
  </w:style>
  <w:style w:type="paragraph" w:styleId="Heading2">
    <w:name w:val="heading 2"/>
    <w:basedOn w:val="Normal"/>
    <w:next w:val="Normal"/>
    <w:qFormat/>
    <w:rsid w:val="00D406E8"/>
    <w:pPr>
      <w:keepNext/>
      <w:widowControl/>
      <w:spacing w:before="120"/>
      <w:jc w:val="both"/>
      <w:outlineLvl w:val="1"/>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B35333"/>
    <w:rPr>
      <w:rFonts w:ascii="Helvetica" w:hAnsi="Helvetica"/>
      <w:snapToGrid w:val="0"/>
      <w:sz w:val="24"/>
    </w:rPr>
  </w:style>
  <w:style w:type="paragraph" w:styleId="Title">
    <w:name w:val="Title"/>
    <w:basedOn w:val="Normal"/>
    <w:next w:val="Normal"/>
    <w:link w:val="TitleChar"/>
    <w:qFormat/>
    <w:rsid w:val="003A5EC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rsid w:val="004259A3"/>
    <w:rPr>
      <w:sz w:val="16"/>
      <w:szCs w:val="16"/>
    </w:rPr>
  </w:style>
  <w:style w:type="paragraph" w:styleId="CommentText">
    <w:name w:val="annotation text"/>
    <w:basedOn w:val="Normal"/>
    <w:link w:val="CommentTextChar"/>
    <w:rsid w:val="004259A3"/>
    <w:rPr>
      <w:sz w:val="20"/>
    </w:rPr>
  </w:style>
  <w:style w:type="character" w:customStyle="1" w:styleId="CommentTextChar">
    <w:name w:val="Comment Text Char"/>
    <w:basedOn w:val="DefaultParagraphFont"/>
    <w:link w:val="CommentText"/>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66A"/>
    <w:pPr>
      <w:ind w:left="720"/>
      <w:contextualSpacing/>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137466">
      <w:bodyDiv w:val="1"/>
      <w:marLeft w:val="0"/>
      <w:marRight w:val="0"/>
      <w:marTop w:val="0"/>
      <w:marBottom w:val="0"/>
      <w:divBdr>
        <w:top w:val="none" w:sz="0" w:space="0" w:color="auto"/>
        <w:left w:val="none" w:sz="0" w:space="0" w:color="auto"/>
        <w:bottom w:val="none" w:sz="0" w:space="0" w:color="auto"/>
        <w:right w:val="none" w:sz="0" w:space="0" w:color="auto"/>
      </w:divBdr>
    </w:div>
    <w:div w:id="798841120">
      <w:bodyDiv w:val="1"/>
      <w:marLeft w:val="0"/>
      <w:marRight w:val="0"/>
      <w:marTop w:val="0"/>
      <w:marBottom w:val="0"/>
      <w:divBdr>
        <w:top w:val="none" w:sz="0" w:space="0" w:color="auto"/>
        <w:left w:val="none" w:sz="0" w:space="0" w:color="auto"/>
        <w:bottom w:val="none" w:sz="0" w:space="0" w:color="auto"/>
        <w:right w:val="none" w:sz="0" w:space="0" w:color="auto"/>
      </w:divBdr>
    </w:div>
    <w:div w:id="842010871">
      <w:bodyDiv w:val="1"/>
      <w:marLeft w:val="0"/>
      <w:marRight w:val="0"/>
      <w:marTop w:val="0"/>
      <w:marBottom w:val="0"/>
      <w:divBdr>
        <w:top w:val="none" w:sz="0" w:space="0" w:color="auto"/>
        <w:left w:val="none" w:sz="0" w:space="0" w:color="auto"/>
        <w:bottom w:val="none" w:sz="0" w:space="0" w:color="auto"/>
        <w:right w:val="none" w:sz="0" w:space="0" w:color="auto"/>
      </w:divBdr>
    </w:div>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 w:id="15381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8FD9-A530-4C91-86C3-82663EC9E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470</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BSC Template 121 Initial Express Terms</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 2-21-IET-PT5-Initial</dc:title>
  <dc:creator>CBSC</dc:creator>
  <cp:lastModifiedBy>Mills, Laura@DGS</cp:lastModifiedBy>
  <cp:revision>6</cp:revision>
  <cp:lastPrinted>2020-06-10T21:02:00Z</cp:lastPrinted>
  <dcterms:created xsi:type="dcterms:W3CDTF">2021-02-26T00:39:00Z</dcterms:created>
  <dcterms:modified xsi:type="dcterms:W3CDTF">2021-06-21T17:44:00Z</dcterms:modified>
</cp:coreProperties>
</file>