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6B97E" w14:textId="0618EC26" w:rsidR="00BB3CE2" w:rsidRPr="001F255F" w:rsidRDefault="00BB3CE2" w:rsidP="0075085F">
      <w:pPr>
        <w:pStyle w:val="Heading1"/>
        <w:spacing w:before="240" w:after="240"/>
      </w:pPr>
      <w:r w:rsidRPr="001F255F">
        <w:rPr>
          <w:rStyle w:val="TitleChar"/>
          <w:rFonts w:cs="Times New Roman"/>
          <w:b/>
          <w:bCs w:val="0"/>
          <w:snapToGrid w:val="0"/>
          <w:kern w:val="0"/>
          <w:szCs w:val="24"/>
        </w:rPr>
        <w:t>INITIAL EXPRESS TERMS</w:t>
      </w:r>
      <w:r w:rsidRPr="001F255F">
        <w:br/>
        <w:t>FOR PROPOSED BUILDING STANDARDS OF THE</w:t>
      </w:r>
      <w:r w:rsidRPr="001F255F">
        <w:br/>
        <w:t>CALIFORNIA DEPARTMENT OF HOUSING AND COMMUNITY DEVELOPMENT</w:t>
      </w:r>
      <w:r w:rsidRPr="001F255F">
        <w:br/>
        <w:t xml:space="preserve">REGARDING THE </w:t>
      </w:r>
      <w:r w:rsidRPr="00471C77">
        <w:rPr>
          <w:rFonts w:eastAsiaTheme="majorEastAsia"/>
        </w:rPr>
        <w:t>2022 CALIFORNIA RESIDENTIAL COD</w:t>
      </w:r>
      <w:r w:rsidRPr="00471C77">
        <w:t>E</w:t>
      </w:r>
      <w:r w:rsidRPr="001F255F">
        <w:br/>
        <w:t xml:space="preserve">CALIFORNIA CODE OF REGULATIONS, TITLE 24, PART </w:t>
      </w:r>
      <w:r w:rsidRPr="001F255F">
        <w:rPr>
          <w:rStyle w:val="TitleChar"/>
          <w:rFonts w:cs="Times New Roman"/>
          <w:b/>
          <w:bCs w:val="0"/>
          <w:snapToGrid w:val="0"/>
          <w:kern w:val="0"/>
          <w:szCs w:val="24"/>
        </w:rPr>
        <w:t>2.5</w:t>
      </w:r>
      <w:r w:rsidR="00082003">
        <w:rPr>
          <w:rStyle w:val="TitleChar"/>
          <w:rFonts w:cs="Times New Roman"/>
          <w:b/>
          <w:bCs w:val="0"/>
          <w:snapToGrid w:val="0"/>
          <w:kern w:val="0"/>
          <w:szCs w:val="24"/>
        </w:rPr>
        <w:br/>
        <w:t xml:space="preserve">SECTION R320, </w:t>
      </w:r>
      <w:r w:rsidR="00901181">
        <w:rPr>
          <w:rStyle w:val="TitleChar"/>
          <w:rFonts w:cs="Times New Roman"/>
          <w:b/>
          <w:bCs w:val="0"/>
          <w:snapToGrid w:val="0"/>
          <w:kern w:val="0"/>
          <w:szCs w:val="24"/>
        </w:rPr>
        <w:t xml:space="preserve">ACCESSIBILITY AND </w:t>
      </w:r>
      <w:r w:rsidR="00082003">
        <w:rPr>
          <w:rStyle w:val="TitleChar"/>
          <w:rFonts w:cs="Times New Roman"/>
          <w:b/>
          <w:bCs w:val="0"/>
          <w:snapToGrid w:val="0"/>
          <w:kern w:val="0"/>
          <w:szCs w:val="24"/>
        </w:rPr>
        <w:t>FALL PREVENTION</w:t>
      </w:r>
    </w:p>
    <w:p w14:paraId="5A0C8502" w14:textId="520AA838" w:rsidR="00704C9C" w:rsidRPr="009A4125" w:rsidRDefault="001701D4" w:rsidP="0075085F">
      <w:pPr>
        <w:pStyle w:val="Heading1"/>
        <w:spacing w:before="240" w:after="240"/>
      </w:pPr>
      <w:r w:rsidRPr="009A4125">
        <w:t>(</w:t>
      </w:r>
      <w:proofErr w:type="spellStart"/>
      <w:r w:rsidR="00082003">
        <w:t>HCD</w:t>
      </w:r>
      <w:proofErr w:type="spellEnd"/>
      <w:r w:rsidR="00082003">
        <w:t xml:space="preserve"> 06</w:t>
      </w:r>
      <w:r w:rsidR="00A70181" w:rsidRPr="009A4125">
        <w:t>/</w:t>
      </w:r>
      <w:r w:rsidR="00EA21F7" w:rsidRPr="009A4125">
        <w:t>21</w:t>
      </w:r>
      <w:r w:rsidRPr="009A4125">
        <w:t>)</w:t>
      </w:r>
    </w:p>
    <w:p w14:paraId="2D577F23" w14:textId="77777777" w:rsidR="00704C9C" w:rsidRPr="00CE584B" w:rsidRDefault="000257AD" w:rsidP="007564BE">
      <w:pPr>
        <w:spacing w:before="120" w:after="120"/>
        <w:rPr>
          <w:rFonts w:ascii="Arial" w:hAnsi="Arial" w:cs="Arial"/>
          <w:szCs w:val="24"/>
        </w:rPr>
      </w:pPr>
      <w:r w:rsidRPr="00CE584B">
        <w:rPr>
          <w:rFonts w:ascii="Arial" w:hAnsi="Arial" w:cs="Arial"/>
          <w:szCs w:val="24"/>
        </w:rPr>
        <w:t>The State agency shall draft the regulations in plain, straight</w:t>
      </w:r>
      <w:r w:rsidRPr="009D4145">
        <w:rPr>
          <w:rFonts w:ascii="Arial" w:hAnsi="Arial" w:cs="Arial"/>
          <w:szCs w:val="24"/>
        </w:rPr>
        <w:t>forward language, avoiding technical terms as much as possible and using a coher</w:t>
      </w:r>
      <w:r w:rsidR="004A129E" w:rsidRPr="00CE584B">
        <w:rPr>
          <w:rFonts w:ascii="Arial" w:hAnsi="Arial" w:cs="Arial"/>
          <w:szCs w:val="24"/>
        </w:rPr>
        <w:t xml:space="preserve">ent and easily readable style. </w:t>
      </w:r>
      <w:r w:rsidRPr="00CE584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CE584B">
        <w:rPr>
          <w:rFonts w:ascii="Arial" w:hAnsi="Arial" w:cs="Arial"/>
          <w:szCs w:val="24"/>
        </w:rPr>
        <w:t>(</w:t>
      </w:r>
      <w:r w:rsidR="00704C9C" w:rsidRPr="00CE584B">
        <w:rPr>
          <w:rFonts w:ascii="Arial" w:hAnsi="Arial" w:cs="Arial"/>
          <w:szCs w:val="24"/>
        </w:rPr>
        <w:t xml:space="preserve">Government Code Section 11346.2(a)(1)). </w:t>
      </w:r>
    </w:p>
    <w:p w14:paraId="0EBE41AF" w14:textId="77777777" w:rsidR="002F066A" w:rsidRPr="00CE584B" w:rsidRDefault="002F066A" w:rsidP="007564BE">
      <w:pPr>
        <w:pBdr>
          <w:top w:val="single" w:sz="4" w:space="1" w:color="auto"/>
        </w:pBdr>
        <w:spacing w:before="120"/>
        <w:rPr>
          <w:rFonts w:ascii="Arial" w:hAnsi="Arial" w:cs="Arial"/>
          <w:szCs w:val="24"/>
        </w:rPr>
      </w:pPr>
      <w:r w:rsidRPr="00CE584B">
        <w:rPr>
          <w:rFonts w:ascii="Arial" w:hAnsi="Arial" w:cs="Arial"/>
          <w:szCs w:val="24"/>
        </w:rPr>
        <w:t>If using assistive technology, please adjust your settings to recognize underline, strikeout, italic and ellipsis.</w:t>
      </w:r>
    </w:p>
    <w:p w14:paraId="33EA7DEA" w14:textId="66CF8053" w:rsidR="002F066A" w:rsidRPr="00CE584B" w:rsidRDefault="002F066A" w:rsidP="007564BE">
      <w:pPr>
        <w:pStyle w:val="Heading2"/>
        <w:spacing w:before="240" w:after="240"/>
        <w:rPr>
          <w:rFonts w:cs="Arial"/>
          <w:szCs w:val="24"/>
        </w:rPr>
      </w:pPr>
      <w:r w:rsidRPr="00CE584B">
        <w:rPr>
          <w:rFonts w:cs="Arial"/>
          <w:szCs w:val="24"/>
        </w:rPr>
        <w:t>LEGEND for EXPRESS TERMS</w:t>
      </w:r>
    </w:p>
    <w:p w14:paraId="45ED3B58" w14:textId="77777777" w:rsidR="002F066A" w:rsidRPr="00CE584B" w:rsidRDefault="002F066A" w:rsidP="0096028F">
      <w:pPr>
        <w:pStyle w:val="ListParagraph"/>
        <w:numPr>
          <w:ilvl w:val="0"/>
          <w:numId w:val="1"/>
        </w:numPr>
        <w:rPr>
          <w:rFonts w:ascii="Arial" w:hAnsi="Arial" w:cs="Arial"/>
          <w:szCs w:val="24"/>
        </w:rPr>
      </w:pPr>
      <w:bookmarkStart w:id="0" w:name="_Hlk51751202"/>
      <w:r w:rsidRPr="00CE584B">
        <w:rPr>
          <w:rFonts w:ascii="Arial" w:hAnsi="Arial" w:cs="Arial"/>
          <w:szCs w:val="24"/>
        </w:rPr>
        <w:t>Model Code language appears upright</w:t>
      </w:r>
    </w:p>
    <w:p w14:paraId="390A87CB"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Existing California amendments appear in </w:t>
      </w:r>
      <w:r w:rsidRPr="00CE584B">
        <w:rPr>
          <w:rFonts w:ascii="Arial" w:hAnsi="Arial" w:cs="Arial"/>
          <w:i/>
          <w:szCs w:val="24"/>
        </w:rPr>
        <w:t>italic</w:t>
      </w:r>
    </w:p>
    <w:p w14:paraId="64085501" w14:textId="77777777" w:rsidR="002F066A" w:rsidRPr="00CE584B" w:rsidRDefault="002F066A" w:rsidP="0096028F">
      <w:pPr>
        <w:pStyle w:val="ListParagraph"/>
        <w:numPr>
          <w:ilvl w:val="0"/>
          <w:numId w:val="1"/>
        </w:numPr>
        <w:rPr>
          <w:rFonts w:ascii="Arial" w:hAnsi="Arial" w:cs="Arial"/>
          <w:i/>
          <w:szCs w:val="24"/>
          <w:u w:val="single"/>
        </w:rPr>
      </w:pPr>
      <w:r w:rsidRPr="00CE584B">
        <w:rPr>
          <w:rFonts w:ascii="Arial" w:hAnsi="Arial" w:cs="Arial"/>
          <w:szCs w:val="24"/>
        </w:rPr>
        <w:t xml:space="preserve">Amended model code or new California amendments appear </w:t>
      </w:r>
      <w:r w:rsidRPr="00CE584B">
        <w:rPr>
          <w:rFonts w:ascii="Arial" w:hAnsi="Arial" w:cs="Arial"/>
          <w:i/>
          <w:szCs w:val="24"/>
          <w:u w:val="single"/>
        </w:rPr>
        <w:t>underlined &amp; italic</w:t>
      </w:r>
    </w:p>
    <w:p w14:paraId="2EB1F489"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Repealed model code language appears </w:t>
      </w:r>
      <w:r w:rsidRPr="00CE584B">
        <w:rPr>
          <w:rFonts w:ascii="Arial" w:hAnsi="Arial" w:cs="Arial"/>
          <w:strike/>
          <w:szCs w:val="24"/>
        </w:rPr>
        <w:t>upright and in strikeout</w:t>
      </w:r>
    </w:p>
    <w:p w14:paraId="7BFEF831"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Repealed California amendments appear in </w:t>
      </w:r>
      <w:r w:rsidRPr="00CE584B">
        <w:rPr>
          <w:rFonts w:ascii="Arial" w:hAnsi="Arial" w:cs="Arial"/>
          <w:i/>
          <w:strike/>
          <w:szCs w:val="24"/>
        </w:rPr>
        <w:t>italic and strikeout</w:t>
      </w:r>
    </w:p>
    <w:p w14:paraId="185C1602" w14:textId="41B205E7" w:rsidR="002F066A" w:rsidRPr="007564BE" w:rsidRDefault="002F066A" w:rsidP="0096028F">
      <w:pPr>
        <w:pStyle w:val="ListParagraph"/>
        <w:numPr>
          <w:ilvl w:val="0"/>
          <w:numId w:val="1"/>
        </w:numPr>
        <w:pBdr>
          <w:bottom w:val="single" w:sz="4" w:space="1" w:color="auto"/>
        </w:pBdr>
        <w:rPr>
          <w:rFonts w:ascii="Arial" w:hAnsi="Arial" w:cs="Arial"/>
          <w:szCs w:val="24"/>
        </w:rPr>
      </w:pPr>
      <w:r w:rsidRPr="00CE584B">
        <w:rPr>
          <w:rFonts w:ascii="Arial" w:hAnsi="Arial" w:cs="Arial"/>
          <w:szCs w:val="24"/>
        </w:rPr>
        <w:t>Ellipsis (</w:t>
      </w:r>
      <w:r w:rsidRPr="00CE584B">
        <w:rPr>
          <w:rFonts w:ascii="Arial" w:hAnsi="Arial" w:cs="Arial"/>
          <w:szCs w:val="24"/>
          <w:lang w:eastAsia="ko-KR"/>
        </w:rPr>
        <w:t>...) indicate existing text remains unchanged</w:t>
      </w:r>
      <w:bookmarkEnd w:id="0"/>
    </w:p>
    <w:p w14:paraId="2997D572" w14:textId="193911B0" w:rsidR="00396F27" w:rsidRPr="00CE584B" w:rsidRDefault="00396F27" w:rsidP="007564BE">
      <w:pPr>
        <w:widowControl/>
        <w:autoSpaceDE w:val="0"/>
        <w:autoSpaceDN w:val="0"/>
        <w:adjustRightInd w:val="0"/>
        <w:spacing w:before="120" w:after="120"/>
        <w:rPr>
          <w:rFonts w:ascii="Arial" w:hAnsi="Arial" w:cs="Arial"/>
          <w:bCs/>
          <w:snapToGrid/>
          <w:szCs w:val="24"/>
        </w:rPr>
      </w:pPr>
      <w:r w:rsidRPr="00CE584B">
        <w:rPr>
          <w:rFonts w:ascii="Arial" w:hAnsi="Arial" w:cs="Arial"/>
          <w:bCs/>
          <w:snapToGrid/>
          <w:szCs w:val="24"/>
        </w:rPr>
        <w:t xml:space="preserve">The </w:t>
      </w:r>
      <w:r w:rsidR="0002301B">
        <w:rPr>
          <w:rFonts w:ascii="Arial" w:hAnsi="Arial" w:cs="Arial"/>
          <w:bCs/>
          <w:snapToGrid/>
          <w:szCs w:val="24"/>
        </w:rPr>
        <w:t xml:space="preserve">California </w:t>
      </w:r>
      <w:r w:rsidRPr="00CE584B">
        <w:rPr>
          <w:rFonts w:ascii="Arial" w:hAnsi="Arial" w:cs="Arial"/>
          <w:bCs/>
          <w:snapToGrid/>
          <w:szCs w:val="24"/>
        </w:rPr>
        <w:t>Department of Housing and Community Development (</w:t>
      </w:r>
      <w:proofErr w:type="spellStart"/>
      <w:r w:rsidRPr="00CE584B">
        <w:rPr>
          <w:rFonts w:ascii="Arial" w:hAnsi="Arial" w:cs="Arial"/>
          <w:bCs/>
          <w:snapToGrid/>
          <w:szCs w:val="24"/>
        </w:rPr>
        <w:t>HCD</w:t>
      </w:r>
      <w:proofErr w:type="spellEnd"/>
      <w:r w:rsidRPr="00CE584B">
        <w:rPr>
          <w:rFonts w:ascii="Arial" w:hAnsi="Arial" w:cs="Arial"/>
          <w:bCs/>
          <w:snapToGrid/>
          <w:szCs w:val="24"/>
        </w:rPr>
        <w:t xml:space="preserve">) proposes to adopt the 2021 edition of the International Residential Code (IRC) for codification and effectiveness into the 2022 edition of the California Residential Code (CRC) as presented on the following pages, including any necessary amendments. </w:t>
      </w:r>
    </w:p>
    <w:p w14:paraId="40E44C9D" w14:textId="77777777" w:rsidR="00396F27" w:rsidRPr="00CE584B" w:rsidRDefault="00396F27" w:rsidP="007564BE">
      <w:pPr>
        <w:widowControl/>
        <w:pBdr>
          <w:bottom w:val="single" w:sz="12" w:space="1" w:color="auto"/>
        </w:pBdr>
        <w:spacing w:before="120"/>
        <w:rPr>
          <w:rFonts w:ascii="Arial" w:hAnsi="Arial" w:cs="Arial"/>
          <w:b/>
          <w:snapToGrid/>
          <w:szCs w:val="24"/>
          <w:u w:val="single"/>
        </w:rPr>
      </w:pPr>
      <w:r w:rsidRPr="00CE584B">
        <w:rPr>
          <w:rFonts w:ascii="Arial" w:hAnsi="Arial" w:cs="Arial"/>
          <w:b/>
          <w:snapToGrid/>
          <w:szCs w:val="24"/>
          <w:u w:val="single"/>
        </w:rPr>
        <w:t>Acronyms:</w:t>
      </w:r>
    </w:p>
    <w:p w14:paraId="115C078E"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CBC</w:t>
      </w:r>
      <w:r w:rsidRPr="005906D6">
        <w:rPr>
          <w:rFonts w:ascii="Arial" w:hAnsi="Arial" w:cs="Arial"/>
          <w:snapToGrid/>
          <w:szCs w:val="24"/>
        </w:rPr>
        <w:tab/>
      </w:r>
      <w:r w:rsidRPr="005906D6">
        <w:rPr>
          <w:rFonts w:ascii="Arial" w:hAnsi="Arial" w:cs="Arial"/>
          <w:snapToGrid/>
          <w:szCs w:val="24"/>
        </w:rPr>
        <w:tab/>
        <w:t>California Building Code</w:t>
      </w:r>
    </w:p>
    <w:p w14:paraId="129A8C95"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CEC</w:t>
      </w:r>
      <w:r w:rsidRPr="005906D6">
        <w:rPr>
          <w:rFonts w:ascii="Arial" w:hAnsi="Arial" w:cs="Arial"/>
          <w:snapToGrid/>
          <w:szCs w:val="24"/>
        </w:rPr>
        <w:tab/>
      </w:r>
      <w:r w:rsidRPr="005906D6">
        <w:rPr>
          <w:rFonts w:ascii="Arial" w:hAnsi="Arial" w:cs="Arial"/>
          <w:snapToGrid/>
          <w:szCs w:val="24"/>
        </w:rPr>
        <w:tab/>
        <w:t>California Electrical Code</w:t>
      </w:r>
    </w:p>
    <w:p w14:paraId="4E0FFA3C"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CMC</w:t>
      </w:r>
      <w:r w:rsidRPr="005906D6">
        <w:rPr>
          <w:rFonts w:ascii="Arial" w:hAnsi="Arial" w:cs="Arial"/>
          <w:snapToGrid/>
          <w:szCs w:val="24"/>
        </w:rPr>
        <w:tab/>
      </w:r>
      <w:r w:rsidRPr="005906D6">
        <w:rPr>
          <w:rFonts w:ascii="Arial" w:hAnsi="Arial" w:cs="Arial"/>
          <w:snapToGrid/>
          <w:szCs w:val="24"/>
        </w:rPr>
        <w:tab/>
        <w:t>California Mechanical Code</w:t>
      </w:r>
    </w:p>
    <w:p w14:paraId="55FF9BEC"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CPC</w:t>
      </w:r>
      <w:r w:rsidRPr="005906D6">
        <w:rPr>
          <w:rFonts w:ascii="Arial" w:hAnsi="Arial" w:cs="Arial"/>
          <w:snapToGrid/>
          <w:szCs w:val="24"/>
        </w:rPr>
        <w:tab/>
      </w:r>
      <w:r w:rsidRPr="005906D6">
        <w:rPr>
          <w:rFonts w:ascii="Arial" w:hAnsi="Arial" w:cs="Arial"/>
          <w:snapToGrid/>
          <w:szCs w:val="24"/>
        </w:rPr>
        <w:tab/>
        <w:t>California Plumbing Code</w:t>
      </w:r>
    </w:p>
    <w:p w14:paraId="4A0D9B8E" w14:textId="0AA62005" w:rsidR="00396F27" w:rsidRPr="005906D6" w:rsidRDefault="00396F27" w:rsidP="007564BE">
      <w:pPr>
        <w:widowControl/>
        <w:pBdr>
          <w:bottom w:val="single" w:sz="12" w:space="1" w:color="auto"/>
        </w:pBdr>
        <w:tabs>
          <w:tab w:val="left" w:pos="720"/>
          <w:tab w:val="left" w:pos="1440"/>
          <w:tab w:val="left" w:pos="2160"/>
          <w:tab w:val="left" w:pos="2880"/>
          <w:tab w:val="left" w:pos="3600"/>
          <w:tab w:val="left" w:pos="8076"/>
        </w:tabs>
        <w:rPr>
          <w:rFonts w:ascii="Arial" w:hAnsi="Arial" w:cs="Arial"/>
          <w:snapToGrid/>
          <w:szCs w:val="24"/>
        </w:rPr>
      </w:pPr>
      <w:r w:rsidRPr="005906D6">
        <w:rPr>
          <w:rFonts w:ascii="Arial" w:hAnsi="Arial" w:cs="Arial"/>
          <w:snapToGrid/>
          <w:szCs w:val="24"/>
        </w:rPr>
        <w:t>CRC</w:t>
      </w:r>
      <w:r w:rsidRPr="005906D6">
        <w:rPr>
          <w:rFonts w:ascii="Arial" w:hAnsi="Arial" w:cs="Arial"/>
          <w:snapToGrid/>
          <w:szCs w:val="24"/>
        </w:rPr>
        <w:tab/>
      </w:r>
      <w:r w:rsidRPr="005906D6">
        <w:rPr>
          <w:rFonts w:ascii="Arial" w:hAnsi="Arial" w:cs="Arial"/>
          <w:snapToGrid/>
          <w:szCs w:val="24"/>
        </w:rPr>
        <w:tab/>
        <w:t>California Residential Code</w:t>
      </w:r>
    </w:p>
    <w:p w14:paraId="071562DE"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CALGreen</w:t>
      </w:r>
      <w:r w:rsidRPr="005906D6">
        <w:rPr>
          <w:rFonts w:ascii="Arial" w:hAnsi="Arial" w:cs="Arial"/>
          <w:snapToGrid/>
          <w:szCs w:val="24"/>
        </w:rPr>
        <w:tab/>
        <w:t>California Green Building Standards Code</w:t>
      </w:r>
    </w:p>
    <w:p w14:paraId="44346D3F" w14:textId="72849586" w:rsidR="00396F27" w:rsidRPr="005906D6" w:rsidRDefault="00396F27" w:rsidP="007564BE">
      <w:pPr>
        <w:widowControl/>
        <w:pBdr>
          <w:bottom w:val="single" w:sz="12" w:space="1" w:color="auto"/>
        </w:pBdr>
        <w:rPr>
          <w:rFonts w:ascii="Arial" w:hAnsi="Arial" w:cs="Arial"/>
          <w:snapToGrid/>
          <w:szCs w:val="24"/>
        </w:rPr>
      </w:pPr>
      <w:proofErr w:type="spellStart"/>
      <w:r w:rsidRPr="005906D6">
        <w:rPr>
          <w:rFonts w:ascii="Arial" w:hAnsi="Arial" w:cs="Arial"/>
          <w:snapToGrid/>
          <w:szCs w:val="24"/>
        </w:rPr>
        <w:t>HCD</w:t>
      </w:r>
      <w:proofErr w:type="spellEnd"/>
      <w:r w:rsidRPr="005906D6">
        <w:rPr>
          <w:rFonts w:ascii="Arial" w:hAnsi="Arial" w:cs="Arial"/>
          <w:snapToGrid/>
          <w:szCs w:val="24"/>
        </w:rPr>
        <w:tab/>
      </w:r>
      <w:r w:rsidRPr="005906D6">
        <w:rPr>
          <w:rFonts w:ascii="Arial" w:hAnsi="Arial" w:cs="Arial"/>
          <w:snapToGrid/>
          <w:szCs w:val="24"/>
        </w:rPr>
        <w:tab/>
      </w:r>
      <w:r w:rsidR="00BA3DB0">
        <w:rPr>
          <w:rFonts w:ascii="Arial" w:hAnsi="Arial" w:cs="Arial"/>
          <w:snapToGrid/>
          <w:szCs w:val="24"/>
        </w:rPr>
        <w:t xml:space="preserve">California </w:t>
      </w:r>
      <w:r w:rsidRPr="005906D6">
        <w:rPr>
          <w:rFonts w:ascii="Arial" w:hAnsi="Arial" w:cs="Arial"/>
          <w:snapToGrid/>
          <w:szCs w:val="24"/>
        </w:rPr>
        <w:t>Department of Housing and Community Development</w:t>
      </w:r>
    </w:p>
    <w:p w14:paraId="118DC7DA" w14:textId="77777777" w:rsidR="00396F27" w:rsidRPr="009A4125" w:rsidRDefault="00396F27" w:rsidP="007564BE">
      <w:pPr>
        <w:pStyle w:val="Heading2"/>
        <w:spacing w:before="240" w:after="240"/>
        <w:rPr>
          <w:snapToGrid/>
          <w:szCs w:val="24"/>
        </w:rPr>
      </w:pPr>
      <w:r w:rsidRPr="009A4125">
        <w:rPr>
          <w:snapToGrid/>
          <w:szCs w:val="24"/>
        </w:rPr>
        <w:t>SUMMARY OF REGULATORY ACTION</w:t>
      </w:r>
    </w:p>
    <w:p w14:paraId="25CEC644" w14:textId="77777777" w:rsidR="00396F27" w:rsidRPr="00CE584B" w:rsidRDefault="00396F27" w:rsidP="007564BE">
      <w:pPr>
        <w:widowControl/>
        <w:tabs>
          <w:tab w:val="left" w:pos="0"/>
        </w:tabs>
        <w:spacing w:before="240"/>
        <w:rPr>
          <w:rFonts w:ascii="Arial" w:hAnsi="Arial" w:cs="Arial"/>
          <w:b/>
          <w:snapToGrid/>
          <w:szCs w:val="24"/>
        </w:rPr>
      </w:pPr>
      <w:proofErr w:type="spellStart"/>
      <w:r w:rsidRPr="00CE584B">
        <w:rPr>
          <w:rFonts w:ascii="Arial" w:hAnsi="Arial" w:cs="Arial"/>
          <w:b/>
          <w:snapToGrid/>
          <w:szCs w:val="24"/>
          <w:u w:val="single"/>
        </w:rPr>
        <w:t>HCD</w:t>
      </w:r>
      <w:proofErr w:type="spellEnd"/>
      <w:r w:rsidRPr="00CE584B">
        <w:rPr>
          <w:rFonts w:ascii="Arial" w:hAnsi="Arial" w:cs="Arial"/>
          <w:b/>
          <w:snapToGrid/>
          <w:szCs w:val="24"/>
          <w:u w:val="single"/>
        </w:rPr>
        <w:t xml:space="preserve"> PROPOSES TO</w:t>
      </w:r>
      <w:r w:rsidRPr="00CE584B">
        <w:rPr>
          <w:rFonts w:ascii="Arial" w:hAnsi="Arial" w:cs="Arial"/>
          <w:b/>
          <w:snapToGrid/>
          <w:szCs w:val="24"/>
        </w:rPr>
        <w:t>:</w:t>
      </w:r>
    </w:p>
    <w:p w14:paraId="6F5E5FD9" w14:textId="77777777" w:rsidR="00396F27" w:rsidRPr="00CE584B" w:rsidRDefault="00396F27" w:rsidP="0096028F">
      <w:pPr>
        <w:widowControl/>
        <w:numPr>
          <w:ilvl w:val="0"/>
          <w:numId w:val="4"/>
        </w:numPr>
        <w:autoSpaceDE w:val="0"/>
        <w:autoSpaceDN w:val="0"/>
        <w:adjustRightInd w:val="0"/>
        <w:spacing w:before="120" w:after="120"/>
        <w:ind w:left="360"/>
        <w:rPr>
          <w:rFonts w:ascii="Arial" w:hAnsi="Arial" w:cs="Arial"/>
          <w:snapToGrid/>
          <w:szCs w:val="24"/>
        </w:rPr>
      </w:pPr>
      <w:r w:rsidRPr="00CE584B">
        <w:rPr>
          <w:rFonts w:ascii="Arial" w:hAnsi="Arial" w:cs="Arial"/>
          <w:snapToGrid/>
          <w:szCs w:val="24"/>
        </w:rPr>
        <w:t>Adopt sections from the 2021 IRC into the 2022 CRC without amendments.</w:t>
      </w:r>
    </w:p>
    <w:p w14:paraId="37079BAE" w14:textId="77777777" w:rsidR="00396F27" w:rsidRPr="00CE584B" w:rsidRDefault="00396F27" w:rsidP="0096028F">
      <w:pPr>
        <w:widowControl/>
        <w:numPr>
          <w:ilvl w:val="0"/>
          <w:numId w:val="4"/>
        </w:numPr>
        <w:autoSpaceDE w:val="0"/>
        <w:autoSpaceDN w:val="0"/>
        <w:adjustRightInd w:val="0"/>
        <w:spacing w:before="120" w:after="120"/>
        <w:ind w:left="360"/>
        <w:rPr>
          <w:rFonts w:ascii="Arial" w:hAnsi="Arial" w:cs="Arial"/>
          <w:snapToGrid/>
          <w:szCs w:val="24"/>
        </w:rPr>
      </w:pPr>
      <w:r w:rsidRPr="00CE584B">
        <w:rPr>
          <w:rFonts w:ascii="Arial" w:hAnsi="Arial" w:cs="Arial"/>
          <w:snapToGrid/>
          <w:szCs w:val="24"/>
        </w:rPr>
        <w:t>Adopt sections from the 2021 IRC into the 2022 CRC with existing amendments.</w:t>
      </w:r>
    </w:p>
    <w:p w14:paraId="35C8BBE8" w14:textId="77777777" w:rsidR="00396F27" w:rsidRPr="00CE584B" w:rsidRDefault="00396F27" w:rsidP="0096028F">
      <w:pPr>
        <w:widowControl/>
        <w:numPr>
          <w:ilvl w:val="0"/>
          <w:numId w:val="6"/>
        </w:numPr>
        <w:autoSpaceDE w:val="0"/>
        <w:autoSpaceDN w:val="0"/>
        <w:adjustRightInd w:val="0"/>
        <w:spacing w:before="120" w:after="120"/>
        <w:rPr>
          <w:rFonts w:ascii="Arial" w:hAnsi="Arial" w:cs="Arial"/>
          <w:snapToGrid/>
          <w:szCs w:val="24"/>
        </w:rPr>
      </w:pPr>
      <w:r w:rsidRPr="00CE584B">
        <w:rPr>
          <w:rFonts w:ascii="Arial" w:hAnsi="Arial" w:cs="Arial"/>
          <w:snapToGrid/>
          <w:szCs w:val="24"/>
        </w:rPr>
        <w:lastRenderedPageBreak/>
        <w:t>Bring forward existing California amendments from the 2019 CRC for adoption into the 2022 CRC without modifications.</w:t>
      </w:r>
    </w:p>
    <w:p w14:paraId="7BE3ADCE" w14:textId="77777777" w:rsidR="00396F27" w:rsidRPr="00CE584B" w:rsidRDefault="00396F27" w:rsidP="0096028F">
      <w:pPr>
        <w:widowControl/>
        <w:numPr>
          <w:ilvl w:val="0"/>
          <w:numId w:val="6"/>
        </w:numPr>
        <w:autoSpaceDE w:val="0"/>
        <w:autoSpaceDN w:val="0"/>
        <w:adjustRightInd w:val="0"/>
        <w:spacing w:before="120" w:after="120"/>
        <w:rPr>
          <w:rFonts w:ascii="Arial" w:hAnsi="Arial" w:cs="Arial"/>
          <w:snapToGrid/>
          <w:szCs w:val="24"/>
        </w:rPr>
      </w:pPr>
      <w:r w:rsidRPr="00CE584B">
        <w:rPr>
          <w:rFonts w:ascii="Arial" w:hAnsi="Arial" w:cs="Arial"/>
          <w:snapToGrid/>
          <w:szCs w:val="24"/>
        </w:rPr>
        <w:t xml:space="preserve">Bring forward existing California amendments from the 2019 CRC for adoption into the 2022 CRC with </w:t>
      </w:r>
      <w:proofErr w:type="spellStart"/>
      <w:r w:rsidRPr="00CE584B">
        <w:rPr>
          <w:rFonts w:ascii="Arial" w:hAnsi="Arial" w:cs="Arial"/>
          <w:snapToGrid/>
          <w:szCs w:val="24"/>
        </w:rPr>
        <w:t>nonsubstantive</w:t>
      </w:r>
      <w:proofErr w:type="spellEnd"/>
      <w:r w:rsidRPr="00CE584B">
        <w:rPr>
          <w:rFonts w:ascii="Arial" w:hAnsi="Arial" w:cs="Arial"/>
          <w:snapToGrid/>
          <w:szCs w:val="24"/>
        </w:rPr>
        <w:t xml:space="preserve"> editorial modifications or new modifications that do not change the regulatory effect.</w:t>
      </w:r>
    </w:p>
    <w:p w14:paraId="6B74B64F" w14:textId="77777777" w:rsidR="00396F27" w:rsidRPr="00CE584B" w:rsidRDefault="00396F27" w:rsidP="0096028F">
      <w:pPr>
        <w:widowControl/>
        <w:numPr>
          <w:ilvl w:val="0"/>
          <w:numId w:val="5"/>
        </w:numPr>
        <w:tabs>
          <w:tab w:val="left" w:pos="0"/>
        </w:tabs>
        <w:spacing w:before="120" w:after="120"/>
        <w:rPr>
          <w:rFonts w:ascii="Arial" w:hAnsi="Arial" w:cs="Arial"/>
          <w:snapToGrid/>
          <w:szCs w:val="24"/>
        </w:rPr>
      </w:pPr>
      <w:r w:rsidRPr="00CE584B">
        <w:rPr>
          <w:rFonts w:ascii="Arial" w:hAnsi="Arial" w:cs="Arial"/>
          <w:snapToGrid/>
          <w:szCs w:val="24"/>
        </w:rPr>
        <w:t>Adopt sections from the 2021 IRC into the 2022 CRC with new amendments.</w:t>
      </w:r>
    </w:p>
    <w:p w14:paraId="7782F187" w14:textId="77777777" w:rsidR="00396F27" w:rsidRPr="00CE584B" w:rsidRDefault="00396F27" w:rsidP="0096028F">
      <w:pPr>
        <w:widowControl/>
        <w:numPr>
          <w:ilvl w:val="0"/>
          <w:numId w:val="5"/>
        </w:numPr>
        <w:tabs>
          <w:tab w:val="left" w:pos="0"/>
        </w:tabs>
        <w:spacing w:before="120" w:after="120"/>
        <w:rPr>
          <w:rFonts w:ascii="Arial" w:hAnsi="Arial" w:cs="Arial"/>
          <w:snapToGrid/>
          <w:szCs w:val="24"/>
        </w:rPr>
      </w:pPr>
      <w:r w:rsidRPr="00CE584B">
        <w:rPr>
          <w:rFonts w:ascii="Arial" w:hAnsi="Arial" w:cs="Arial"/>
          <w:snapToGrid/>
          <w:szCs w:val="24"/>
        </w:rPr>
        <w:t>Adopt sections from the 2021 IRC into the 2022 CRC with new amendments that do not change the regulatory effect.</w:t>
      </w:r>
    </w:p>
    <w:p w14:paraId="337383FC" w14:textId="77777777" w:rsidR="00396F27" w:rsidRPr="00CE584B" w:rsidRDefault="00396F27" w:rsidP="0096028F">
      <w:pPr>
        <w:widowControl/>
        <w:numPr>
          <w:ilvl w:val="0"/>
          <w:numId w:val="2"/>
        </w:numPr>
        <w:tabs>
          <w:tab w:val="left" w:pos="0"/>
          <w:tab w:val="num" w:pos="360"/>
        </w:tabs>
        <w:spacing w:before="120" w:after="120"/>
        <w:rPr>
          <w:rFonts w:ascii="Arial" w:hAnsi="Arial" w:cs="Arial"/>
          <w:bCs/>
          <w:snapToGrid/>
          <w:szCs w:val="24"/>
        </w:rPr>
      </w:pPr>
      <w:r w:rsidRPr="00CE584B">
        <w:rPr>
          <w:rFonts w:ascii="Arial" w:hAnsi="Arial" w:cs="Arial"/>
          <w:bCs/>
          <w:snapToGrid/>
          <w:szCs w:val="24"/>
        </w:rPr>
        <w:t>Repeal existing California amendments from the 2019 CRC and not bring them forward into the 2022 CRC.</w:t>
      </w:r>
    </w:p>
    <w:p w14:paraId="1DB50272" w14:textId="174B2195" w:rsidR="002F066A" w:rsidRPr="00CE584B" w:rsidRDefault="00396F27" w:rsidP="0096028F">
      <w:pPr>
        <w:widowControl/>
        <w:numPr>
          <w:ilvl w:val="0"/>
          <w:numId w:val="3"/>
        </w:numPr>
        <w:pBdr>
          <w:bottom w:val="single" w:sz="4" w:space="1" w:color="auto"/>
        </w:pBdr>
        <w:tabs>
          <w:tab w:val="left" w:pos="0"/>
        </w:tabs>
        <w:spacing w:before="120" w:after="120"/>
        <w:ind w:left="360"/>
        <w:rPr>
          <w:rFonts w:ascii="Arial" w:hAnsi="Arial" w:cs="Arial"/>
          <w:szCs w:val="24"/>
        </w:rPr>
      </w:pPr>
      <w:r w:rsidRPr="00CE584B">
        <w:rPr>
          <w:rFonts w:ascii="Arial" w:hAnsi="Arial" w:cs="Arial"/>
          <w:bCs/>
          <w:snapToGrid/>
          <w:szCs w:val="24"/>
        </w:rPr>
        <w:t>Not adopt specified sections of the 2021 IRC.</w:t>
      </w:r>
    </w:p>
    <w:p w14:paraId="442B8D61" w14:textId="77777777" w:rsidR="000257AD" w:rsidRPr="00CE584B" w:rsidRDefault="00F163D3" w:rsidP="007564BE">
      <w:pPr>
        <w:pStyle w:val="Heading2"/>
        <w:spacing w:before="240" w:after="240"/>
        <w:rPr>
          <w:rFonts w:cs="Arial"/>
          <w:bCs/>
          <w:szCs w:val="24"/>
        </w:rPr>
      </w:pPr>
      <w:r w:rsidRPr="00CE584B">
        <w:rPr>
          <w:rFonts w:cs="Arial"/>
          <w:szCs w:val="24"/>
        </w:rPr>
        <w:t>INITIAL</w:t>
      </w:r>
      <w:r w:rsidR="006D74C1" w:rsidRPr="00CE584B">
        <w:rPr>
          <w:rFonts w:cs="Arial"/>
          <w:szCs w:val="24"/>
        </w:rPr>
        <w:t xml:space="preserve"> </w:t>
      </w:r>
      <w:r w:rsidR="000257AD" w:rsidRPr="00CE584B">
        <w:rPr>
          <w:rFonts w:cs="Arial"/>
          <w:szCs w:val="24"/>
        </w:rPr>
        <w:t>EXPRESS TERMS</w:t>
      </w:r>
    </w:p>
    <w:p w14:paraId="1042FF70" w14:textId="03E275E6" w:rsidR="00EC30F5" w:rsidRPr="00CE584B" w:rsidRDefault="00EC30F5" w:rsidP="005060BD">
      <w:pPr>
        <w:jc w:val="center"/>
        <w:rPr>
          <w:rFonts w:ascii="Arial" w:hAnsi="Arial" w:cs="Arial"/>
          <w:b/>
          <w:bCs/>
          <w:szCs w:val="24"/>
        </w:rPr>
      </w:pPr>
      <w:r w:rsidRPr="00CE584B">
        <w:rPr>
          <w:rFonts w:ascii="Arial" w:hAnsi="Arial" w:cs="Arial"/>
          <w:b/>
          <w:bCs/>
          <w:szCs w:val="24"/>
        </w:rPr>
        <w:t>SECTION R320</w:t>
      </w:r>
      <w:r w:rsidR="005060BD">
        <w:rPr>
          <w:rFonts w:ascii="Arial" w:hAnsi="Arial" w:cs="Arial"/>
          <w:b/>
          <w:bCs/>
          <w:szCs w:val="24"/>
        </w:rPr>
        <w:br/>
      </w:r>
      <w:r w:rsidRPr="00CE584B">
        <w:rPr>
          <w:rFonts w:ascii="Arial" w:hAnsi="Arial" w:cs="Arial"/>
          <w:b/>
          <w:bCs/>
          <w:szCs w:val="24"/>
        </w:rPr>
        <w:t>ACCESSIBILITY</w:t>
      </w:r>
      <w:r w:rsidR="00914212">
        <w:rPr>
          <w:rFonts w:ascii="Arial" w:hAnsi="Arial" w:cs="Arial"/>
          <w:b/>
          <w:bCs/>
          <w:szCs w:val="24"/>
        </w:rPr>
        <w:t xml:space="preserve"> </w:t>
      </w:r>
      <w:r w:rsidR="00914212" w:rsidRPr="007F7694">
        <w:rPr>
          <w:rFonts w:ascii="Arial" w:hAnsi="Arial" w:cs="Arial"/>
          <w:b/>
          <w:bCs/>
          <w:i/>
          <w:iCs/>
          <w:szCs w:val="24"/>
          <w:u w:val="single"/>
        </w:rPr>
        <w:t>AND FALL PREVENTION</w:t>
      </w:r>
    </w:p>
    <w:p w14:paraId="221409DF" w14:textId="77777777" w:rsidR="00F50EF7" w:rsidRPr="00354DDE" w:rsidRDefault="00F50EF7" w:rsidP="00F50EF7">
      <w:pPr>
        <w:spacing w:before="120" w:after="120"/>
        <w:rPr>
          <w:rFonts w:ascii="Arial" w:eastAsia="SimSun" w:hAnsi="Arial" w:cs="Arial"/>
          <w:bCs/>
          <w:i/>
          <w:iCs/>
          <w:szCs w:val="24"/>
        </w:rPr>
      </w:pPr>
      <w:bookmarkStart w:id="1" w:name="_Hlk54255534"/>
      <w:r w:rsidRPr="00354DDE">
        <w:rPr>
          <w:rFonts w:ascii="Arial" w:hAnsi="Arial" w:cs="Arial"/>
          <w:b/>
          <w:color w:val="231F20"/>
          <w:szCs w:val="24"/>
        </w:rPr>
        <w:t xml:space="preserve">R320.1 </w:t>
      </w:r>
      <w:r w:rsidRPr="00354DDE">
        <w:rPr>
          <w:rFonts w:ascii="Arial" w:hAnsi="Arial" w:cs="Arial"/>
          <w:b/>
          <w:strike/>
          <w:color w:val="231F20"/>
          <w:szCs w:val="24"/>
        </w:rPr>
        <w:t>Scope</w:t>
      </w:r>
      <w:r w:rsidRPr="00354DDE">
        <w:rPr>
          <w:rFonts w:ascii="Arial" w:hAnsi="Arial" w:cs="Arial"/>
          <w:b/>
          <w:color w:val="231F20"/>
          <w:szCs w:val="24"/>
        </w:rPr>
        <w:t xml:space="preserve"> </w:t>
      </w:r>
      <w:r w:rsidRPr="00354DDE">
        <w:rPr>
          <w:rFonts w:ascii="Arial" w:hAnsi="Arial" w:cs="Arial"/>
          <w:b/>
          <w:i/>
          <w:iCs/>
          <w:color w:val="231F20"/>
          <w:szCs w:val="24"/>
          <w:u w:val="single"/>
        </w:rPr>
        <w:t>Accessibility</w:t>
      </w:r>
      <w:r w:rsidRPr="00354DDE">
        <w:rPr>
          <w:rFonts w:ascii="Arial" w:hAnsi="Arial" w:cs="Arial"/>
          <w:b/>
          <w:i/>
          <w:iCs/>
          <w:color w:val="231F20"/>
          <w:szCs w:val="24"/>
        </w:rPr>
        <w:t>.</w:t>
      </w:r>
      <w:r w:rsidRPr="00354DDE">
        <w:rPr>
          <w:rFonts w:ascii="Arial" w:hAnsi="Arial" w:cs="Arial"/>
          <w:i/>
          <w:iCs/>
          <w:color w:val="231F20"/>
          <w:szCs w:val="24"/>
        </w:rPr>
        <w:t xml:space="preserve"> D</w:t>
      </w:r>
      <w:r w:rsidRPr="00354DDE">
        <w:rPr>
          <w:rFonts w:ascii="Arial" w:hAnsi="Arial" w:cs="Arial"/>
          <w:i/>
          <w:iCs/>
          <w:szCs w:val="24"/>
        </w:rPr>
        <w:t>welling units in a building consisting of three or more dwelling units or four or more condominium units shall meet the requirements of the California Building Code Chapter 11A. Covered Multifamily Dwellings include but are not limited to dwelling units listed in Section 1.8.2.1.2. Dwelling units within a single structure separated by firewalls do not constitute separate buildings.</w:t>
      </w:r>
    </w:p>
    <w:p w14:paraId="75CB71F2" w14:textId="308A5CDD" w:rsidR="00F50EF7" w:rsidRPr="00354DDE" w:rsidRDefault="00F50EF7" w:rsidP="00F50EF7">
      <w:pPr>
        <w:spacing w:before="120" w:after="120"/>
        <w:rPr>
          <w:rFonts w:ascii="Arial" w:eastAsia="Calibri" w:hAnsi="Arial" w:cs="Arial"/>
          <w:bCs/>
          <w:i/>
          <w:iCs/>
          <w:strike/>
          <w:color w:val="000000" w:themeColor="text1"/>
          <w:szCs w:val="24"/>
          <w:u w:val="single"/>
        </w:rPr>
      </w:pPr>
      <w:r w:rsidRPr="003C000E">
        <w:rPr>
          <w:rFonts w:ascii="Arial" w:eastAsia="SimSun" w:hAnsi="Arial" w:cs="Arial"/>
          <w:b/>
          <w:szCs w:val="24"/>
        </w:rPr>
        <w:t>R320.2 Live/Work units.</w:t>
      </w:r>
      <w:r w:rsidRPr="00354DDE">
        <w:rPr>
          <w:rFonts w:ascii="Arial" w:eastAsia="SimSun" w:hAnsi="Arial" w:cs="Arial"/>
          <w:bCs/>
          <w:strike/>
          <w:szCs w:val="24"/>
        </w:rPr>
        <w:t xml:space="preserve"> </w:t>
      </w:r>
      <w:r w:rsidRPr="00354DDE">
        <w:rPr>
          <w:rFonts w:ascii="Arial" w:eastAsia="SimSun" w:hAnsi="Arial" w:cs="Arial"/>
          <w:strike/>
          <w:szCs w:val="24"/>
        </w:rPr>
        <w:t>In live/work units, the nonresidential portion shall be accessible in accordance with Sections 508.5.9 and 508.5.11 of the International Building Code</w:t>
      </w:r>
      <w:r w:rsidRPr="003C000E">
        <w:rPr>
          <w:rFonts w:ascii="Arial" w:eastAsia="SimSun" w:hAnsi="Arial" w:cs="Arial"/>
          <w:szCs w:val="24"/>
        </w:rPr>
        <w:t xml:space="preserve">. In a structure where there are four or more live/work units, the dwelling portion of the live/work unit shall comply with </w:t>
      </w:r>
      <w:r w:rsidRPr="00C67695">
        <w:rPr>
          <w:rFonts w:ascii="Arial" w:eastAsia="SimSun" w:hAnsi="Arial" w:cs="Arial"/>
          <w:strike/>
          <w:szCs w:val="24"/>
        </w:rPr>
        <w:t>Section 1108.6.2.1</w:t>
      </w:r>
      <w:r w:rsidRPr="003C000E">
        <w:rPr>
          <w:rFonts w:ascii="Arial" w:eastAsia="SimSun" w:hAnsi="Arial" w:cs="Arial"/>
          <w:szCs w:val="24"/>
        </w:rPr>
        <w:t xml:space="preserve"> </w:t>
      </w:r>
      <w:r w:rsidR="00C67695" w:rsidRPr="003C000E">
        <w:rPr>
          <w:rFonts w:ascii="Arial" w:eastAsia="SimSun" w:hAnsi="Arial" w:cs="Arial"/>
          <w:i/>
          <w:iCs/>
          <w:szCs w:val="24"/>
          <w:u w:val="single"/>
        </w:rPr>
        <w:t>Chapter 11A or Chapter 11B</w:t>
      </w:r>
      <w:r w:rsidR="00C67695">
        <w:rPr>
          <w:rFonts w:ascii="Arial" w:eastAsia="SimSun" w:hAnsi="Arial" w:cs="Arial"/>
          <w:szCs w:val="24"/>
        </w:rPr>
        <w:t xml:space="preserve"> </w:t>
      </w:r>
      <w:r w:rsidRPr="003C000E">
        <w:rPr>
          <w:rFonts w:ascii="Arial" w:eastAsia="SimSun" w:hAnsi="Arial" w:cs="Arial"/>
          <w:szCs w:val="24"/>
        </w:rPr>
        <w:t xml:space="preserve">of the </w:t>
      </w:r>
      <w:r w:rsidRPr="00C67695">
        <w:rPr>
          <w:rFonts w:ascii="Arial" w:eastAsia="SimSun" w:hAnsi="Arial" w:cs="Arial"/>
          <w:strike/>
          <w:szCs w:val="24"/>
        </w:rPr>
        <w:t>International</w:t>
      </w:r>
      <w:r w:rsidRPr="003C000E">
        <w:rPr>
          <w:rFonts w:ascii="Arial" w:eastAsia="SimSun" w:hAnsi="Arial" w:cs="Arial"/>
          <w:szCs w:val="24"/>
        </w:rPr>
        <w:t xml:space="preserve"> </w:t>
      </w:r>
      <w:r w:rsidR="00C67695" w:rsidRPr="003C000E">
        <w:rPr>
          <w:rFonts w:ascii="Arial" w:eastAsia="SimSun" w:hAnsi="Arial" w:cs="Arial"/>
          <w:i/>
          <w:iCs/>
          <w:szCs w:val="24"/>
          <w:u w:val="single"/>
        </w:rPr>
        <w:t>California</w:t>
      </w:r>
      <w:r w:rsidR="00C67695">
        <w:rPr>
          <w:rFonts w:ascii="Arial" w:eastAsia="SimSun" w:hAnsi="Arial" w:cs="Arial"/>
          <w:i/>
          <w:iCs/>
          <w:szCs w:val="24"/>
        </w:rPr>
        <w:t xml:space="preserve"> </w:t>
      </w:r>
      <w:r w:rsidRPr="003C000E">
        <w:rPr>
          <w:rFonts w:ascii="Arial" w:eastAsia="SimSun" w:hAnsi="Arial" w:cs="Arial"/>
          <w:szCs w:val="24"/>
        </w:rPr>
        <w:t>Building Code</w:t>
      </w:r>
      <w:r w:rsidR="00C67695" w:rsidRPr="003C000E">
        <w:rPr>
          <w:rFonts w:ascii="Arial" w:eastAsia="SimSun" w:hAnsi="Arial" w:cs="Arial"/>
          <w:i/>
          <w:iCs/>
          <w:szCs w:val="24"/>
          <w:u w:val="single"/>
        </w:rPr>
        <w:t>, as applicable</w:t>
      </w:r>
      <w:r w:rsidRPr="003C000E">
        <w:rPr>
          <w:rFonts w:ascii="Arial" w:eastAsia="SimSun" w:hAnsi="Arial" w:cs="Arial"/>
          <w:szCs w:val="24"/>
        </w:rPr>
        <w:t>.</w:t>
      </w:r>
    </w:p>
    <w:p w14:paraId="18DF4B20" w14:textId="449CCBBA" w:rsidR="00F50EF7" w:rsidRPr="00354DDE" w:rsidRDefault="00F50EF7" w:rsidP="00F50EF7">
      <w:pPr>
        <w:spacing w:before="120" w:after="120"/>
        <w:rPr>
          <w:rFonts w:ascii="Arial" w:hAnsi="Arial" w:cs="Arial"/>
          <w:b/>
          <w:i/>
          <w:iCs/>
          <w:szCs w:val="24"/>
          <w:u w:val="single"/>
        </w:rPr>
      </w:pPr>
      <w:r w:rsidRPr="00354DDE">
        <w:rPr>
          <w:rFonts w:ascii="Arial" w:eastAsia="Calibri" w:hAnsi="Arial" w:cs="Arial"/>
          <w:b/>
          <w:i/>
          <w:iCs/>
          <w:szCs w:val="24"/>
          <w:u w:val="single"/>
        </w:rPr>
        <w:t>R320.</w:t>
      </w:r>
      <w:r w:rsidR="00C67695">
        <w:rPr>
          <w:rFonts w:ascii="Arial" w:eastAsia="Calibri" w:hAnsi="Arial" w:cs="Arial"/>
          <w:b/>
          <w:i/>
          <w:iCs/>
          <w:szCs w:val="24"/>
          <w:u w:val="single"/>
        </w:rPr>
        <w:t>3</w:t>
      </w:r>
      <w:r w:rsidRPr="00354DDE">
        <w:rPr>
          <w:rFonts w:ascii="Arial" w:eastAsia="Calibri" w:hAnsi="Arial" w:cs="Arial"/>
          <w:b/>
          <w:i/>
          <w:iCs/>
          <w:szCs w:val="24"/>
          <w:u w:val="single"/>
        </w:rPr>
        <w:t xml:space="preserve"> Fall prevention.</w:t>
      </w:r>
      <w:r w:rsidRPr="00354DDE">
        <w:rPr>
          <w:rFonts w:ascii="Arial" w:eastAsia="Calibri" w:hAnsi="Arial" w:cs="Arial"/>
          <w:bCs/>
          <w:i/>
          <w:iCs/>
          <w:szCs w:val="24"/>
          <w:u w:val="single"/>
        </w:rPr>
        <w:t xml:space="preserve"> </w:t>
      </w:r>
      <w:r w:rsidRPr="00354DDE">
        <w:rPr>
          <w:rFonts w:ascii="Arial" w:hAnsi="Arial" w:cs="Arial"/>
          <w:i/>
          <w:iCs/>
          <w:szCs w:val="24"/>
          <w:u w:val="single"/>
        </w:rPr>
        <w:t>Newly constructed dwellings subject to the requirements of this code shall be designed and constructed in accordance with Sections R320.</w:t>
      </w:r>
      <w:r w:rsidR="00C67695">
        <w:rPr>
          <w:rFonts w:ascii="Arial" w:hAnsi="Arial" w:cs="Arial"/>
          <w:i/>
          <w:iCs/>
          <w:szCs w:val="24"/>
          <w:u w:val="single"/>
        </w:rPr>
        <w:t>3</w:t>
      </w:r>
      <w:r w:rsidRPr="00354DDE">
        <w:rPr>
          <w:rFonts w:ascii="Arial" w:hAnsi="Arial" w:cs="Arial"/>
          <w:i/>
          <w:iCs/>
          <w:szCs w:val="24"/>
          <w:u w:val="single"/>
        </w:rPr>
        <w:t>.1 through R320.</w:t>
      </w:r>
      <w:r w:rsidR="00C67695">
        <w:rPr>
          <w:rFonts w:ascii="Arial" w:hAnsi="Arial" w:cs="Arial"/>
          <w:i/>
          <w:iCs/>
          <w:szCs w:val="24"/>
          <w:u w:val="single"/>
        </w:rPr>
        <w:t>3</w:t>
      </w:r>
      <w:r w:rsidRPr="00354DDE">
        <w:rPr>
          <w:rFonts w:ascii="Arial" w:hAnsi="Arial" w:cs="Arial"/>
          <w:i/>
          <w:iCs/>
          <w:szCs w:val="24"/>
          <w:u w:val="single"/>
        </w:rPr>
        <w:t>.4.</w:t>
      </w:r>
    </w:p>
    <w:p w14:paraId="4951C7FE" w14:textId="77777777" w:rsidR="00F50EF7" w:rsidRPr="00354DDE" w:rsidRDefault="00F50EF7" w:rsidP="00F50EF7">
      <w:pPr>
        <w:spacing w:before="120" w:after="120"/>
        <w:ind w:left="720" w:hanging="360"/>
        <w:rPr>
          <w:rFonts w:ascii="Arial" w:hAnsi="Arial" w:cs="Arial"/>
          <w:b/>
          <w:bCs/>
          <w:i/>
          <w:iCs/>
          <w:szCs w:val="24"/>
          <w:u w:val="single"/>
        </w:rPr>
      </w:pPr>
      <w:r w:rsidRPr="00354DDE">
        <w:rPr>
          <w:rFonts w:ascii="Arial" w:hAnsi="Arial" w:cs="Arial"/>
          <w:b/>
          <w:bCs/>
          <w:i/>
          <w:iCs/>
          <w:szCs w:val="24"/>
          <w:u w:val="single"/>
        </w:rPr>
        <w:t>Exceptions:</w:t>
      </w:r>
    </w:p>
    <w:p w14:paraId="61722C0B" w14:textId="77777777" w:rsidR="00F50EF7" w:rsidRPr="00354DDE" w:rsidRDefault="00F50EF7" w:rsidP="0096028F">
      <w:pPr>
        <w:pStyle w:val="ListParagraph"/>
        <w:widowControl/>
        <w:numPr>
          <w:ilvl w:val="0"/>
          <w:numId w:val="13"/>
        </w:numPr>
        <w:spacing w:before="120" w:after="120"/>
        <w:contextualSpacing w:val="0"/>
        <w:rPr>
          <w:rFonts w:ascii="Arial" w:eastAsia="Calibri" w:hAnsi="Arial" w:cs="Arial"/>
          <w:i/>
          <w:color w:val="000000" w:themeColor="text1"/>
          <w:szCs w:val="24"/>
          <w:u w:val="single"/>
        </w:rPr>
      </w:pPr>
      <w:r w:rsidRPr="00354DDE">
        <w:rPr>
          <w:rFonts w:ascii="Arial" w:eastAsia="Calibri" w:hAnsi="Arial" w:cs="Arial"/>
          <w:i/>
          <w:color w:val="000000" w:themeColor="text1"/>
          <w:szCs w:val="24"/>
          <w:u w:val="single"/>
        </w:rPr>
        <w:t>Covered multifamily dwellings designed and constructed in accordance with Chapter 11A of the California Building Code.</w:t>
      </w:r>
    </w:p>
    <w:p w14:paraId="74109ADA" w14:textId="77777777" w:rsidR="00F50EF7" w:rsidRPr="00354DDE" w:rsidRDefault="00F50EF7" w:rsidP="0096028F">
      <w:pPr>
        <w:pStyle w:val="ListParagraph"/>
        <w:widowControl/>
        <w:numPr>
          <w:ilvl w:val="0"/>
          <w:numId w:val="13"/>
        </w:numPr>
        <w:spacing w:before="120" w:after="120"/>
        <w:contextualSpacing w:val="0"/>
        <w:rPr>
          <w:rFonts w:ascii="Arial" w:hAnsi="Arial" w:cs="Arial"/>
          <w:i/>
          <w:iCs/>
          <w:color w:val="000000"/>
          <w:u w:val="single"/>
        </w:rPr>
      </w:pPr>
      <w:r w:rsidRPr="00354DDE">
        <w:rPr>
          <w:rFonts w:ascii="Arial" w:hAnsi="Arial" w:cs="Arial"/>
          <w:i/>
          <w:iCs/>
          <w:color w:val="000000" w:themeColor="text1"/>
          <w:u w:val="single"/>
        </w:rPr>
        <w:t>Public housing designed and constructed in accordance with Chapter 11B of the California Building Code.</w:t>
      </w:r>
    </w:p>
    <w:p w14:paraId="3C119CE0" w14:textId="5EB6EDB1" w:rsidR="00F50EF7" w:rsidRPr="00354DDE" w:rsidRDefault="00F50EF7" w:rsidP="003C000E">
      <w:pPr>
        <w:widowControl/>
        <w:tabs>
          <w:tab w:val="left" w:pos="1170"/>
        </w:tabs>
        <w:autoSpaceDE w:val="0"/>
        <w:autoSpaceDN w:val="0"/>
        <w:adjustRightInd w:val="0"/>
        <w:spacing w:before="120" w:after="120"/>
        <w:ind w:left="360"/>
        <w:rPr>
          <w:rFonts w:ascii="Arial" w:eastAsia="Calibri" w:hAnsi="Arial" w:cs="Arial"/>
          <w:i/>
          <w:iCs/>
          <w:color w:val="000000" w:themeColor="text1"/>
          <w:szCs w:val="24"/>
          <w:u w:val="single"/>
        </w:rPr>
      </w:pPr>
      <w:r w:rsidRPr="00354DDE">
        <w:rPr>
          <w:rFonts w:ascii="Arial" w:eastAsiaTheme="minorEastAsia" w:hAnsi="Arial" w:cs="Arial"/>
          <w:b/>
          <w:bCs/>
          <w:i/>
          <w:iCs/>
          <w:color w:val="000000" w:themeColor="text1"/>
          <w:szCs w:val="24"/>
          <w:u w:val="single"/>
        </w:rPr>
        <w:t>R320.</w:t>
      </w:r>
      <w:r w:rsidR="00C67695">
        <w:rPr>
          <w:rFonts w:ascii="Arial" w:eastAsiaTheme="minorEastAsia" w:hAnsi="Arial" w:cs="Arial"/>
          <w:b/>
          <w:bCs/>
          <w:i/>
          <w:iCs/>
          <w:color w:val="000000" w:themeColor="text1"/>
          <w:szCs w:val="24"/>
          <w:u w:val="single"/>
        </w:rPr>
        <w:t>3</w:t>
      </w:r>
      <w:r w:rsidRPr="00354DDE">
        <w:rPr>
          <w:rFonts w:ascii="Arial" w:eastAsiaTheme="minorEastAsia" w:hAnsi="Arial" w:cs="Arial"/>
          <w:b/>
          <w:bCs/>
          <w:i/>
          <w:iCs/>
          <w:color w:val="000000" w:themeColor="text1"/>
          <w:szCs w:val="24"/>
          <w:u w:val="single"/>
        </w:rPr>
        <w:t xml:space="preserve">.1 </w:t>
      </w:r>
      <w:r w:rsidRPr="00354DDE">
        <w:rPr>
          <w:rFonts w:ascii="Arial" w:eastAsia="Calibri" w:hAnsi="Arial" w:cs="Arial"/>
          <w:b/>
          <w:bCs/>
          <w:i/>
          <w:iCs/>
          <w:color w:val="000000" w:themeColor="text1"/>
          <w:szCs w:val="24"/>
          <w:u w:val="single"/>
        </w:rPr>
        <w:t xml:space="preserve">Reinforcement for grab bars. </w:t>
      </w:r>
      <w:r w:rsidRPr="00354DDE">
        <w:rPr>
          <w:rFonts w:ascii="Arial" w:eastAsia="Calibri" w:hAnsi="Arial" w:cs="Arial"/>
          <w:i/>
          <w:iCs/>
          <w:color w:val="000000" w:themeColor="text1"/>
          <w:szCs w:val="24"/>
          <w:u w:val="single"/>
        </w:rPr>
        <w:t>At least one b</w:t>
      </w:r>
      <w:r w:rsidRPr="00354DDE">
        <w:rPr>
          <w:rFonts w:ascii="Arial" w:eastAsiaTheme="minorEastAsia" w:hAnsi="Arial" w:cs="Arial"/>
          <w:i/>
          <w:iCs/>
          <w:szCs w:val="24"/>
          <w:u w:val="single"/>
        </w:rPr>
        <w:t>athroom shall be provided with</w:t>
      </w:r>
      <w:r w:rsidRPr="00354DDE">
        <w:rPr>
          <w:rFonts w:ascii="Arial" w:eastAsia="Calibri" w:hAnsi="Arial" w:cs="Arial"/>
          <w:i/>
          <w:iCs/>
          <w:color w:val="000000" w:themeColor="text1"/>
          <w:szCs w:val="24"/>
          <w:u w:val="single"/>
        </w:rPr>
        <w:t xml:space="preserve"> reinforcement installed in accordance with </w:t>
      </w:r>
      <w:proofErr w:type="gramStart"/>
      <w:r w:rsidRPr="00354DDE">
        <w:rPr>
          <w:rFonts w:ascii="Arial" w:eastAsia="Calibri" w:hAnsi="Arial" w:cs="Arial"/>
          <w:i/>
          <w:iCs/>
          <w:color w:val="000000" w:themeColor="text1"/>
          <w:szCs w:val="24"/>
          <w:u w:val="single"/>
        </w:rPr>
        <w:t>all of</w:t>
      </w:r>
      <w:proofErr w:type="gramEnd"/>
      <w:r w:rsidRPr="00354DDE">
        <w:rPr>
          <w:rFonts w:ascii="Arial" w:eastAsia="Calibri" w:hAnsi="Arial" w:cs="Arial"/>
          <w:i/>
          <w:iCs/>
          <w:color w:val="000000" w:themeColor="text1"/>
          <w:szCs w:val="24"/>
          <w:u w:val="single"/>
        </w:rPr>
        <w:t xml:space="preserve"> the following:</w:t>
      </w:r>
    </w:p>
    <w:p w14:paraId="0ABC04A3" w14:textId="1B2D3D28" w:rsidR="00F50EF7" w:rsidRPr="0024440B" w:rsidRDefault="00F50EF7" w:rsidP="0096028F">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Reinforcement shall be solid lumber or other construction materials approved by the enforcing agency.</w:t>
      </w:r>
    </w:p>
    <w:p w14:paraId="6A0A8AB9" w14:textId="65122278" w:rsidR="00F50EF7" w:rsidRPr="0024440B" w:rsidRDefault="00F50EF7" w:rsidP="0096028F">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 xml:space="preserve">Reinforcement shall not be less than 2 </w:t>
      </w:r>
      <w:proofErr w:type="gramStart"/>
      <w:r w:rsidRPr="0024440B">
        <w:rPr>
          <w:rFonts w:ascii="Arial" w:eastAsia="Calibri" w:hAnsi="Arial" w:cs="Arial"/>
          <w:i/>
          <w:color w:val="000000" w:themeColor="text1"/>
          <w:szCs w:val="24"/>
          <w:u w:val="single"/>
        </w:rPr>
        <w:t>inch</w:t>
      </w:r>
      <w:proofErr w:type="gramEnd"/>
      <w:r w:rsidRPr="0024440B">
        <w:rPr>
          <w:rFonts w:ascii="Arial" w:eastAsia="Calibri" w:hAnsi="Arial" w:cs="Arial"/>
          <w:i/>
          <w:color w:val="000000" w:themeColor="text1"/>
          <w:szCs w:val="24"/>
          <w:u w:val="single"/>
        </w:rPr>
        <w:t xml:space="preserve"> by 8 inch nominal lumber.</w:t>
      </w:r>
      <w:r w:rsidRPr="0024440B">
        <w:rPr>
          <w:rFonts w:ascii="Arial" w:eastAsia="Calibri" w:hAnsi="Arial" w:cs="Arial"/>
          <w:i/>
          <w:color w:val="000000" w:themeColor="text1"/>
          <w:szCs w:val="24"/>
          <w:u w:val="single"/>
        </w:rPr>
        <w:br/>
        <w:t>(1-1/2 inch by 7-1/4 inch actual dimension). Reinforcement shall be located between 32 inches (812.8 mm) and 39-1/4 inches (997 mm) above the finished floor) flush with the wall framing.</w:t>
      </w:r>
    </w:p>
    <w:p w14:paraId="3178CD2D" w14:textId="6EBA708A" w:rsidR="00F50EF7" w:rsidRPr="0024440B" w:rsidRDefault="00F50EF7" w:rsidP="0096028F">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lastRenderedPageBreak/>
        <w:t>Water closet reinforcement shall be installed on both side walls of the fixture, or one side wall and the back wall.</w:t>
      </w:r>
    </w:p>
    <w:p w14:paraId="0263F564" w14:textId="2EFD8791" w:rsidR="00F50EF7" w:rsidRPr="0024440B" w:rsidRDefault="00F50EF7" w:rsidP="0096028F">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Shower reinforcement shall be continuous where wall framing is provided.</w:t>
      </w:r>
    </w:p>
    <w:p w14:paraId="4FC9C017" w14:textId="175EC669" w:rsidR="00F50EF7" w:rsidRPr="0024440B" w:rsidRDefault="00F50EF7" w:rsidP="0096028F">
      <w:pPr>
        <w:pStyle w:val="ListParagraph"/>
        <w:widowControl/>
        <w:numPr>
          <w:ilvl w:val="0"/>
          <w:numId w:val="19"/>
        </w:numPr>
        <w:spacing w:before="120" w:after="120"/>
        <w:rPr>
          <w:rFonts w:ascii="Arial" w:hAnsi="Arial" w:cs="Arial"/>
          <w:i/>
          <w:iCs/>
          <w:szCs w:val="24"/>
          <w:u w:val="single"/>
        </w:rPr>
      </w:pPr>
      <w:r w:rsidRPr="0024440B">
        <w:rPr>
          <w:rFonts w:ascii="Arial" w:eastAsia="Calibri" w:hAnsi="Arial" w:cs="Arial"/>
          <w:i/>
          <w:color w:val="000000" w:themeColor="text1"/>
          <w:szCs w:val="24"/>
          <w:u w:val="single"/>
        </w:rPr>
        <w:t xml:space="preserve">Bathtub and combination bathtub/shower reinforcement shall be continuous on each </w:t>
      </w:r>
      <w:r w:rsidRPr="0024440B">
        <w:rPr>
          <w:rFonts w:ascii="Arial" w:hAnsi="Arial" w:cs="Arial"/>
          <w:i/>
          <w:iCs/>
          <w:szCs w:val="24"/>
          <w:u w:val="single"/>
        </w:rPr>
        <w:t xml:space="preserve">end of the bathtub and the back wall. Additionally, back wall reinforcement for a lower grab bar shall be provided with the bottom edge located no more than 6 inches </w:t>
      </w:r>
      <w:r w:rsidRPr="0024440B">
        <w:rPr>
          <w:rFonts w:ascii="Arial" w:eastAsia="Calibri" w:hAnsi="Arial" w:cs="Arial"/>
          <w:i/>
          <w:color w:val="000000" w:themeColor="text1"/>
          <w:szCs w:val="24"/>
          <w:u w:val="single"/>
        </w:rPr>
        <w:t xml:space="preserve">(152.4 mm) </w:t>
      </w:r>
      <w:r w:rsidRPr="0024440B">
        <w:rPr>
          <w:rFonts w:ascii="Arial" w:hAnsi="Arial" w:cs="Arial"/>
          <w:i/>
          <w:iCs/>
          <w:szCs w:val="24"/>
          <w:u w:val="single"/>
        </w:rPr>
        <w:t>above the bathtub rim.</w:t>
      </w:r>
    </w:p>
    <w:p w14:paraId="09DB0622" w14:textId="77777777" w:rsidR="00F50EF7" w:rsidRPr="00354DDE" w:rsidRDefault="00F50EF7" w:rsidP="00F50EF7">
      <w:pPr>
        <w:widowControl/>
        <w:spacing w:before="120" w:after="120"/>
        <w:ind w:left="720"/>
        <w:rPr>
          <w:rFonts w:ascii="Arial" w:eastAsia="Calibri" w:hAnsi="Arial" w:cs="Arial"/>
          <w:b/>
          <w:i/>
          <w:color w:val="000000" w:themeColor="text1"/>
          <w:szCs w:val="24"/>
          <w:u w:val="single"/>
        </w:rPr>
      </w:pPr>
      <w:r w:rsidRPr="00354DDE">
        <w:rPr>
          <w:rFonts w:ascii="Arial" w:eastAsia="Calibri" w:hAnsi="Arial" w:cs="Arial"/>
          <w:b/>
          <w:i/>
          <w:color w:val="000000" w:themeColor="text1"/>
          <w:szCs w:val="24"/>
          <w:u w:val="single"/>
        </w:rPr>
        <w:t>Exceptions:</w:t>
      </w:r>
    </w:p>
    <w:p w14:paraId="3286ED51" w14:textId="297E6698" w:rsidR="00F50EF7" w:rsidRPr="0024440B" w:rsidRDefault="00F50EF7" w:rsidP="0096028F">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 xml:space="preserve">Where the water closet is not placed adjacent to a side wall capable of accommodating a grab bar, the bathroom shall have provisions for installation of floor mounted, </w:t>
      </w:r>
      <w:proofErr w:type="gramStart"/>
      <w:r w:rsidRPr="0024440B">
        <w:rPr>
          <w:rFonts w:ascii="Arial" w:eastAsia="Calibri" w:hAnsi="Arial" w:cs="Arial"/>
          <w:i/>
          <w:color w:val="000000" w:themeColor="text1"/>
          <w:szCs w:val="24"/>
          <w:u w:val="single"/>
        </w:rPr>
        <w:t>foldaway</w:t>
      </w:r>
      <w:proofErr w:type="gramEnd"/>
      <w:r w:rsidRPr="0024440B">
        <w:rPr>
          <w:rFonts w:ascii="Arial" w:eastAsia="Calibri" w:hAnsi="Arial" w:cs="Arial"/>
          <w:i/>
          <w:color w:val="000000" w:themeColor="text1"/>
          <w:szCs w:val="24"/>
          <w:u w:val="single"/>
        </w:rPr>
        <w:t xml:space="preserve"> or similar alternate grab bar reinforcements approved by the enforcing agency.</w:t>
      </w:r>
    </w:p>
    <w:p w14:paraId="7D4B0148" w14:textId="2A1F372B" w:rsidR="00F50EF7" w:rsidRPr="0024440B" w:rsidRDefault="00F50EF7" w:rsidP="0096028F">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 xml:space="preserve">Reinforcement shall not be required in wall framing for </w:t>
      </w:r>
      <w:proofErr w:type="gramStart"/>
      <w:r w:rsidRPr="0024440B">
        <w:rPr>
          <w:rFonts w:ascii="Arial" w:eastAsia="Calibri" w:hAnsi="Arial" w:cs="Arial"/>
          <w:i/>
          <w:color w:val="000000" w:themeColor="text1"/>
          <w:szCs w:val="24"/>
          <w:u w:val="single"/>
        </w:rPr>
        <w:t>pre-fabricated</w:t>
      </w:r>
      <w:proofErr w:type="gramEnd"/>
      <w:r w:rsidRPr="0024440B">
        <w:rPr>
          <w:rFonts w:ascii="Arial" w:eastAsia="Calibri" w:hAnsi="Arial" w:cs="Arial"/>
          <w:i/>
          <w:color w:val="000000" w:themeColor="text1"/>
          <w:szCs w:val="24"/>
          <w:u w:val="single"/>
        </w:rPr>
        <w:t xml:space="preserve"> shower enclosures and bathtub wall panels with integral factory installed grab bars or when factory installed reinforcement for grab bars is provided.</w:t>
      </w:r>
    </w:p>
    <w:p w14:paraId="417D2496" w14:textId="095CE6B9" w:rsidR="00F50EF7" w:rsidRPr="0024440B" w:rsidRDefault="00F50EF7" w:rsidP="0096028F">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Shower enclosures that do not permit installation of reinforcement and/or grab bars shall be permitted, provided reinforcement for installation of floor mounted grab bars or an alternate method is approved by the enforcing agency.</w:t>
      </w:r>
    </w:p>
    <w:p w14:paraId="78F16B07" w14:textId="1126B7FA" w:rsidR="00F50EF7" w:rsidRPr="0024440B" w:rsidRDefault="00F50EF7" w:rsidP="0096028F">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Bathtubs with no surrounding walls, or where wall panels do not permit the installation of reinforcement shall be permitted, provided reinforcement for installation of floor mounted grab bars or an alternate method is approved by the enforcing agency.</w:t>
      </w:r>
    </w:p>
    <w:p w14:paraId="60A3D1E5" w14:textId="66B5767A" w:rsidR="00F50EF7" w:rsidRPr="0024440B" w:rsidRDefault="00F50EF7" w:rsidP="0096028F">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Reinforcement of floors shall not be required for bathtubs and water closets installed on concrete slab floors.</w:t>
      </w:r>
    </w:p>
    <w:p w14:paraId="07B81CD4" w14:textId="130EE8C3" w:rsidR="00F50EF7" w:rsidRPr="00354DDE" w:rsidRDefault="00F50EF7" w:rsidP="003C000E">
      <w:pPr>
        <w:widowControl/>
        <w:spacing w:before="120" w:after="120"/>
        <w:ind w:left="720"/>
        <w:rPr>
          <w:rFonts w:ascii="Arial" w:hAnsi="Arial" w:cs="Arial"/>
          <w:i/>
          <w:szCs w:val="24"/>
        </w:rPr>
      </w:pPr>
      <w:r w:rsidRPr="00354DDE">
        <w:rPr>
          <w:rFonts w:ascii="Arial" w:eastAsiaTheme="minorEastAsia" w:hAnsi="Arial" w:cs="Arial"/>
          <w:b/>
          <w:bCs/>
          <w:i/>
          <w:iCs/>
          <w:color w:val="000000" w:themeColor="text1"/>
          <w:szCs w:val="24"/>
          <w:u w:val="single"/>
        </w:rPr>
        <w:t>R320.</w:t>
      </w:r>
      <w:r w:rsidR="00C67695">
        <w:rPr>
          <w:rFonts w:ascii="Arial" w:eastAsiaTheme="minorEastAsia" w:hAnsi="Arial" w:cs="Arial"/>
          <w:b/>
          <w:bCs/>
          <w:i/>
          <w:iCs/>
          <w:color w:val="000000" w:themeColor="text1"/>
          <w:szCs w:val="24"/>
          <w:u w:val="single"/>
        </w:rPr>
        <w:t>3</w:t>
      </w:r>
      <w:r w:rsidRPr="00354DDE">
        <w:rPr>
          <w:rFonts w:ascii="Arial" w:eastAsiaTheme="minorEastAsia" w:hAnsi="Arial" w:cs="Arial"/>
          <w:b/>
          <w:bCs/>
          <w:i/>
          <w:iCs/>
          <w:color w:val="000000" w:themeColor="text1"/>
          <w:szCs w:val="24"/>
          <w:u w:val="single"/>
        </w:rPr>
        <w:t xml:space="preserve">.1.1 Documentation for grab bar reinforcement. </w:t>
      </w:r>
      <w:r w:rsidRPr="00354DDE">
        <w:rPr>
          <w:rFonts w:ascii="Arial" w:eastAsia="Calibri" w:hAnsi="Arial" w:cs="Arial"/>
          <w:i/>
          <w:iCs/>
          <w:color w:val="000000" w:themeColor="text1"/>
          <w:szCs w:val="24"/>
          <w:u w:val="single"/>
        </w:rPr>
        <w:t xml:space="preserve">Information and/or drawings identifying the location of grab bar reinforcement shall </w:t>
      </w:r>
      <w:r w:rsidRPr="00354DDE">
        <w:rPr>
          <w:rFonts w:ascii="Arial" w:eastAsia="SimSun" w:hAnsi="Arial" w:cs="Arial"/>
          <w:i/>
          <w:iCs/>
          <w:szCs w:val="24"/>
          <w:u w:val="single"/>
        </w:rPr>
        <w:t>be placed in the operation and maintenance manual</w:t>
      </w:r>
      <w:r w:rsidRPr="00354DDE">
        <w:rPr>
          <w:rFonts w:ascii="Arial" w:eastAsia="Calibri" w:hAnsi="Arial" w:cs="Arial"/>
          <w:i/>
          <w:iCs/>
          <w:color w:val="000000" w:themeColor="text1"/>
          <w:szCs w:val="24"/>
          <w:u w:val="single"/>
        </w:rPr>
        <w:t xml:space="preserve"> in accordance with the California Green Building Standards Code, Chapter 4, Division 4.4.</w:t>
      </w:r>
    </w:p>
    <w:p w14:paraId="3D36B44D" w14:textId="3E04367D" w:rsidR="00F50EF7" w:rsidRPr="00354DDE" w:rsidRDefault="00F50EF7" w:rsidP="003C000E">
      <w:pPr>
        <w:widowControl/>
        <w:autoSpaceDE w:val="0"/>
        <w:autoSpaceDN w:val="0"/>
        <w:adjustRightInd w:val="0"/>
        <w:spacing w:before="120" w:after="120"/>
        <w:ind w:left="360"/>
        <w:rPr>
          <w:rFonts w:ascii="Arial" w:eastAsiaTheme="minorEastAsia" w:hAnsi="Arial" w:cs="Arial"/>
          <w:i/>
          <w:iCs/>
          <w:szCs w:val="24"/>
        </w:rPr>
      </w:pPr>
      <w:r w:rsidRPr="00354DDE">
        <w:rPr>
          <w:rFonts w:ascii="Arial" w:eastAsiaTheme="minorEastAsia" w:hAnsi="Arial" w:cs="Arial"/>
          <w:b/>
          <w:bCs/>
          <w:i/>
          <w:iCs/>
          <w:color w:val="000000" w:themeColor="text1"/>
          <w:szCs w:val="24"/>
          <w:u w:val="single"/>
        </w:rPr>
        <w:t>R320.</w:t>
      </w:r>
      <w:r w:rsidR="00C67695">
        <w:rPr>
          <w:rFonts w:ascii="Arial" w:eastAsiaTheme="minorEastAsia" w:hAnsi="Arial" w:cs="Arial"/>
          <w:b/>
          <w:bCs/>
          <w:i/>
          <w:iCs/>
          <w:color w:val="000000" w:themeColor="text1"/>
          <w:szCs w:val="24"/>
          <w:u w:val="single"/>
        </w:rPr>
        <w:t>3</w:t>
      </w:r>
      <w:r w:rsidRPr="00354DDE">
        <w:rPr>
          <w:rFonts w:ascii="Arial" w:eastAsiaTheme="minorEastAsia" w:hAnsi="Arial" w:cs="Arial"/>
          <w:b/>
          <w:bCs/>
          <w:i/>
          <w:iCs/>
          <w:color w:val="000000" w:themeColor="text1"/>
          <w:szCs w:val="24"/>
          <w:u w:val="single"/>
        </w:rPr>
        <w:t xml:space="preserve">.2 </w:t>
      </w:r>
      <w:r w:rsidRPr="00354DDE">
        <w:rPr>
          <w:rFonts w:ascii="Arial" w:eastAsiaTheme="minorEastAsia" w:hAnsi="Arial" w:cs="Arial"/>
          <w:b/>
          <w:bCs/>
          <w:i/>
          <w:iCs/>
          <w:szCs w:val="24"/>
          <w:u w:val="single"/>
        </w:rPr>
        <w:t xml:space="preserve">Electrical receptacle outlet, </w:t>
      </w:r>
      <w:proofErr w:type="gramStart"/>
      <w:r w:rsidRPr="00354DDE">
        <w:rPr>
          <w:rFonts w:ascii="Arial" w:eastAsiaTheme="minorEastAsia" w:hAnsi="Arial" w:cs="Arial"/>
          <w:b/>
          <w:bCs/>
          <w:i/>
          <w:iCs/>
          <w:szCs w:val="24"/>
          <w:u w:val="single"/>
        </w:rPr>
        <w:t>switch</w:t>
      </w:r>
      <w:proofErr w:type="gramEnd"/>
      <w:r w:rsidRPr="00354DDE">
        <w:rPr>
          <w:rFonts w:ascii="Arial" w:eastAsiaTheme="minorEastAsia" w:hAnsi="Arial" w:cs="Arial"/>
          <w:b/>
          <w:bCs/>
          <w:i/>
          <w:iCs/>
          <w:szCs w:val="24"/>
          <w:u w:val="single"/>
        </w:rPr>
        <w:t xml:space="preserve"> and control heights. </w:t>
      </w:r>
      <w:r w:rsidRPr="00354DDE">
        <w:rPr>
          <w:rFonts w:ascii="Arial" w:eastAsiaTheme="minorEastAsia" w:hAnsi="Arial" w:cs="Arial"/>
          <w:i/>
          <w:iCs/>
          <w:szCs w:val="24"/>
          <w:u w:val="single"/>
        </w:rPr>
        <w:t xml:space="preserve">Electrical receptacle outlets, switches, and controls (including controls for heating, ventilation, and air conditioning) intended to be used by occupants, shall be located no more than 48 inches (1219.2 mm) measured from the top of the outlet and not less than 15 inches (381 mm) measured from the bottom of the outlet above the finish floor. </w:t>
      </w:r>
    </w:p>
    <w:p w14:paraId="76AFCC28" w14:textId="77777777" w:rsidR="00F50EF7" w:rsidRPr="00354DDE" w:rsidRDefault="00F50EF7" w:rsidP="00F50EF7">
      <w:pPr>
        <w:widowControl/>
        <w:tabs>
          <w:tab w:val="left" w:pos="990"/>
        </w:tabs>
        <w:autoSpaceDE w:val="0"/>
        <w:autoSpaceDN w:val="0"/>
        <w:adjustRightInd w:val="0"/>
        <w:spacing w:before="120" w:after="120"/>
        <w:ind w:left="360"/>
        <w:rPr>
          <w:rFonts w:ascii="Arial" w:eastAsiaTheme="minorEastAsia" w:hAnsi="Arial" w:cs="Arial"/>
          <w:b/>
          <w:bCs/>
          <w:i/>
          <w:iCs/>
          <w:szCs w:val="24"/>
          <w:u w:val="single"/>
        </w:rPr>
      </w:pPr>
      <w:r w:rsidRPr="00354DDE">
        <w:rPr>
          <w:rFonts w:ascii="Arial" w:eastAsiaTheme="minorEastAsia" w:hAnsi="Arial" w:cs="Arial"/>
          <w:b/>
          <w:bCs/>
          <w:i/>
          <w:iCs/>
          <w:szCs w:val="24"/>
          <w:u w:val="single"/>
        </w:rPr>
        <w:t>Exceptions:</w:t>
      </w:r>
    </w:p>
    <w:p w14:paraId="513800BC" w14:textId="77777777" w:rsidR="00F50EF7" w:rsidRPr="00354DDE" w:rsidRDefault="00F50EF7" w:rsidP="0096028F">
      <w:pPr>
        <w:pStyle w:val="ListParagraph"/>
        <w:widowControl/>
        <w:numPr>
          <w:ilvl w:val="0"/>
          <w:numId w:val="14"/>
        </w:numPr>
        <w:tabs>
          <w:tab w:val="left" w:pos="990"/>
        </w:tabs>
        <w:autoSpaceDE w:val="0"/>
        <w:autoSpaceDN w:val="0"/>
        <w:adjustRightInd w:val="0"/>
        <w:spacing w:before="120" w:after="120"/>
        <w:contextualSpacing w:val="0"/>
        <w:rPr>
          <w:rFonts w:ascii="Arial" w:eastAsiaTheme="minorEastAsia" w:hAnsi="Arial" w:cs="Arial"/>
          <w:i/>
          <w:iCs/>
          <w:color w:val="000000" w:themeColor="text1"/>
          <w:szCs w:val="24"/>
          <w:u w:val="single"/>
        </w:rPr>
      </w:pPr>
      <w:r w:rsidRPr="00354DDE">
        <w:rPr>
          <w:rFonts w:ascii="Arial" w:eastAsiaTheme="minorEastAsia" w:hAnsi="Arial" w:cs="Arial"/>
          <w:i/>
          <w:iCs/>
          <w:szCs w:val="24"/>
          <w:u w:val="single"/>
        </w:rPr>
        <w:t>Dedicated receptacle outlets, floor receptacle outlets, controls, switches, and receptacle outlets over countertops, controls mounted on ceiling fans and ceiling lights, controls located on appliances.</w:t>
      </w:r>
    </w:p>
    <w:p w14:paraId="6C80FCD8" w14:textId="77777777" w:rsidR="00F50EF7" w:rsidRPr="00354DDE" w:rsidRDefault="00F50EF7" w:rsidP="0096028F">
      <w:pPr>
        <w:pStyle w:val="ListParagraph"/>
        <w:widowControl/>
        <w:numPr>
          <w:ilvl w:val="0"/>
          <w:numId w:val="14"/>
        </w:numPr>
        <w:tabs>
          <w:tab w:val="left" w:pos="990"/>
        </w:tabs>
        <w:autoSpaceDE w:val="0"/>
        <w:autoSpaceDN w:val="0"/>
        <w:adjustRightInd w:val="0"/>
        <w:spacing w:before="120" w:after="120"/>
        <w:contextualSpacing w:val="0"/>
        <w:rPr>
          <w:rFonts w:ascii="Arial" w:eastAsiaTheme="minorEastAsia" w:hAnsi="Arial" w:cs="Arial"/>
          <w:i/>
          <w:iCs/>
          <w:u w:val="single"/>
        </w:rPr>
      </w:pPr>
      <w:r w:rsidRPr="00354DDE">
        <w:rPr>
          <w:rFonts w:ascii="Arial" w:eastAsiaTheme="minorEastAsia" w:hAnsi="Arial" w:cs="Arial"/>
          <w:i/>
          <w:iCs/>
          <w:u w:val="single"/>
        </w:rPr>
        <w:t xml:space="preserve">Receptacle outlets required by the California Electrical Code on a wall space where the distance between the finished floor and a built-in feature above the finish floor, such as a window, is less than 15 inches. </w:t>
      </w:r>
    </w:p>
    <w:p w14:paraId="2B70CE6D" w14:textId="3D2A6C4D" w:rsidR="00F50EF7" w:rsidRPr="00354DDE" w:rsidRDefault="00F50EF7" w:rsidP="003C000E">
      <w:pPr>
        <w:widowControl/>
        <w:autoSpaceDE w:val="0"/>
        <w:autoSpaceDN w:val="0"/>
        <w:adjustRightInd w:val="0"/>
        <w:spacing w:before="120" w:after="120"/>
        <w:ind w:left="360"/>
        <w:rPr>
          <w:rFonts w:ascii="Arial" w:hAnsi="Arial" w:cs="Arial"/>
          <w:b/>
          <w:i/>
          <w:iCs/>
          <w:szCs w:val="24"/>
          <w:u w:val="single"/>
        </w:rPr>
      </w:pPr>
      <w:r w:rsidRPr="00354DDE">
        <w:rPr>
          <w:rFonts w:ascii="Arial" w:hAnsi="Arial" w:cs="Arial"/>
          <w:b/>
          <w:bCs/>
          <w:i/>
          <w:iCs/>
          <w:color w:val="000000" w:themeColor="text1"/>
          <w:szCs w:val="24"/>
          <w:u w:val="single"/>
        </w:rPr>
        <w:t>R320.</w:t>
      </w:r>
      <w:r w:rsidR="00C67695">
        <w:rPr>
          <w:rFonts w:ascii="Arial" w:hAnsi="Arial" w:cs="Arial"/>
          <w:b/>
          <w:bCs/>
          <w:i/>
          <w:iCs/>
          <w:color w:val="000000" w:themeColor="text1"/>
          <w:szCs w:val="24"/>
          <w:u w:val="single"/>
        </w:rPr>
        <w:t>3</w:t>
      </w:r>
      <w:r w:rsidRPr="00354DDE">
        <w:rPr>
          <w:rFonts w:ascii="Arial" w:hAnsi="Arial" w:cs="Arial"/>
          <w:b/>
          <w:bCs/>
          <w:i/>
          <w:iCs/>
          <w:color w:val="000000" w:themeColor="text1"/>
          <w:szCs w:val="24"/>
          <w:u w:val="single"/>
        </w:rPr>
        <w:t xml:space="preserve">.3 </w:t>
      </w:r>
      <w:r w:rsidRPr="00354DDE">
        <w:rPr>
          <w:rFonts w:ascii="Arial" w:eastAsia="Calibri" w:hAnsi="Arial" w:cs="Arial"/>
          <w:b/>
          <w:bCs/>
          <w:i/>
          <w:iCs/>
          <w:color w:val="000000" w:themeColor="text1"/>
          <w:szCs w:val="24"/>
          <w:u w:val="single"/>
        </w:rPr>
        <w:t xml:space="preserve">Interior doors. </w:t>
      </w:r>
      <w:r w:rsidRPr="00354DDE">
        <w:rPr>
          <w:rFonts w:ascii="Arial" w:eastAsia="Calibri" w:hAnsi="Arial" w:cs="Arial"/>
          <w:i/>
          <w:iCs/>
          <w:color w:val="000000" w:themeColor="text1"/>
          <w:szCs w:val="24"/>
          <w:u w:val="single"/>
        </w:rPr>
        <w:t>Effective July 1, 2024, a</w:t>
      </w:r>
      <w:r w:rsidRPr="00354DDE">
        <w:rPr>
          <w:rFonts w:ascii="Arial" w:eastAsiaTheme="minorEastAsia" w:hAnsi="Arial" w:cs="Arial"/>
          <w:i/>
          <w:iCs/>
          <w:color w:val="000000" w:themeColor="text1"/>
          <w:szCs w:val="24"/>
          <w:u w:val="single"/>
        </w:rPr>
        <w:t xml:space="preserve">t least one bathroom and one bedroom on the entry level shall provide a doorway with a net clear opening of not less than </w:t>
      </w:r>
      <w:r w:rsidRPr="00354DDE">
        <w:rPr>
          <w:rFonts w:ascii="Arial" w:eastAsia="Calibri" w:hAnsi="Arial" w:cs="Arial"/>
          <w:i/>
          <w:iCs/>
          <w:color w:val="000000" w:themeColor="text1"/>
          <w:szCs w:val="24"/>
          <w:u w:val="single"/>
        </w:rPr>
        <w:t>32 inches (812.8 mm)</w:t>
      </w:r>
      <w:r w:rsidRPr="00354DDE">
        <w:rPr>
          <w:rFonts w:ascii="Arial" w:eastAsiaTheme="minorEastAsia" w:hAnsi="Arial" w:cs="Arial"/>
          <w:i/>
          <w:iCs/>
          <w:color w:val="000000" w:themeColor="text1"/>
          <w:szCs w:val="24"/>
          <w:u w:val="single"/>
        </w:rPr>
        <w:t xml:space="preserve">, </w:t>
      </w:r>
      <w:r w:rsidRPr="00354DDE">
        <w:rPr>
          <w:rFonts w:ascii="Arial" w:eastAsiaTheme="minorEastAsia" w:hAnsi="Arial" w:cs="Arial"/>
          <w:i/>
          <w:iCs/>
          <w:szCs w:val="24"/>
          <w:u w:val="single"/>
        </w:rPr>
        <w:t>measured with the door positioned at an angle of 90</w:t>
      </w:r>
      <w:r w:rsidR="00923CA5">
        <w:rPr>
          <w:rFonts w:ascii="Arial" w:eastAsiaTheme="minorEastAsia" w:hAnsi="Arial" w:cs="Arial"/>
          <w:i/>
          <w:iCs/>
          <w:szCs w:val="24"/>
          <w:u w:val="single"/>
        </w:rPr>
        <w:t> </w:t>
      </w:r>
      <w:r w:rsidRPr="00354DDE">
        <w:rPr>
          <w:rFonts w:ascii="Arial" w:eastAsiaTheme="minorEastAsia" w:hAnsi="Arial" w:cs="Arial"/>
          <w:i/>
          <w:iCs/>
          <w:szCs w:val="24"/>
          <w:u w:val="single"/>
        </w:rPr>
        <w:t xml:space="preserve">degrees from the closed position; or, in the case of a two- or three-story </w:t>
      </w:r>
      <w:proofErr w:type="gramStart"/>
      <w:r w:rsidRPr="00354DDE">
        <w:rPr>
          <w:rFonts w:ascii="Arial" w:eastAsiaTheme="minorEastAsia" w:hAnsi="Arial" w:cs="Arial"/>
          <w:i/>
          <w:iCs/>
          <w:szCs w:val="24"/>
          <w:u w:val="single"/>
        </w:rPr>
        <w:t xml:space="preserve">single </w:t>
      </w:r>
      <w:r w:rsidRPr="00354DDE">
        <w:rPr>
          <w:rFonts w:ascii="Arial" w:eastAsiaTheme="minorEastAsia" w:hAnsi="Arial" w:cs="Arial"/>
          <w:i/>
          <w:iCs/>
          <w:szCs w:val="24"/>
          <w:u w:val="single"/>
        </w:rPr>
        <w:lastRenderedPageBreak/>
        <w:t>family</w:t>
      </w:r>
      <w:proofErr w:type="gramEnd"/>
      <w:r w:rsidRPr="00354DDE">
        <w:rPr>
          <w:rFonts w:ascii="Arial" w:eastAsiaTheme="minorEastAsia" w:hAnsi="Arial" w:cs="Arial"/>
          <w:i/>
          <w:iCs/>
          <w:szCs w:val="24"/>
          <w:u w:val="single"/>
        </w:rPr>
        <w:t xml:space="preserve"> dwelling, on the second or third floor of the dwelling if a bathroom or bedroom is not located on the entry level.</w:t>
      </w:r>
    </w:p>
    <w:p w14:paraId="076C94CD" w14:textId="45845E9D" w:rsidR="00EC30F5" w:rsidRPr="00082003" w:rsidRDefault="00F50EF7" w:rsidP="00082003">
      <w:pPr>
        <w:widowControl/>
        <w:spacing w:before="120" w:after="120"/>
        <w:ind w:left="360"/>
        <w:rPr>
          <w:rFonts w:ascii="Arial" w:eastAsiaTheme="minorHAnsi" w:hAnsi="Arial" w:cs="Arial"/>
          <w:bCs/>
          <w:i/>
          <w:iCs/>
          <w:szCs w:val="24"/>
          <w:u w:val="single"/>
        </w:rPr>
      </w:pPr>
      <w:r w:rsidRPr="00354DDE">
        <w:rPr>
          <w:rFonts w:ascii="Arial" w:hAnsi="Arial" w:cs="Arial"/>
          <w:b/>
          <w:i/>
          <w:iCs/>
          <w:szCs w:val="24"/>
          <w:u w:val="single"/>
        </w:rPr>
        <w:t>R320.</w:t>
      </w:r>
      <w:r w:rsidR="00C67695">
        <w:rPr>
          <w:rFonts w:ascii="Arial" w:hAnsi="Arial" w:cs="Arial"/>
          <w:b/>
          <w:i/>
          <w:iCs/>
          <w:szCs w:val="24"/>
          <w:u w:val="single"/>
        </w:rPr>
        <w:t>3</w:t>
      </w:r>
      <w:r w:rsidRPr="00354DDE">
        <w:rPr>
          <w:rFonts w:ascii="Arial" w:hAnsi="Arial" w:cs="Arial"/>
          <w:b/>
          <w:i/>
          <w:iCs/>
          <w:szCs w:val="24"/>
          <w:u w:val="single"/>
        </w:rPr>
        <w:t xml:space="preserve">.4 Doorbell buttons. </w:t>
      </w:r>
      <w:r w:rsidRPr="00354DDE">
        <w:rPr>
          <w:rFonts w:ascii="Arial" w:hAnsi="Arial" w:cs="Arial"/>
          <w:i/>
          <w:iCs/>
          <w:szCs w:val="24"/>
          <w:u w:val="single"/>
        </w:rPr>
        <w:t xml:space="preserve">Doorbell buttons or controls, when installed, shall not exceed </w:t>
      </w:r>
      <w:r w:rsidRPr="00354DDE">
        <w:rPr>
          <w:rFonts w:ascii="Arial" w:eastAsiaTheme="minorHAnsi" w:hAnsi="Arial" w:cs="Arial"/>
          <w:bCs/>
          <w:i/>
          <w:iCs/>
          <w:szCs w:val="24"/>
          <w:u w:val="single"/>
        </w:rPr>
        <w:t>48 inches (1219.2 mm) above exterior floor or landing, measured from the top of the doorbell button assembly. Where doorbell buttons integrated with other features are required to be installed above 48 inches (1219.2 mm) measured from the exterior floor or landing, a standard doorbell button or control shall also be provided at a height not exceeding 48 inches (1219.2 mm) above exterior floor or landing, measured from the top of the doorbell button or control.</w:t>
      </w:r>
      <w:bookmarkEnd w:id="1"/>
    </w:p>
    <w:p w14:paraId="6B95284E" w14:textId="35F85286"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723B6" w:rsidRPr="00CE584B">
        <w:rPr>
          <w:rFonts w:ascii="Arial" w:hAnsi="Arial" w:cs="Arial"/>
          <w:b/>
          <w:bCs/>
          <w:iCs/>
          <w:snapToGrid/>
          <w:szCs w:val="24"/>
        </w:rPr>
        <w:t>otation</w:t>
      </w:r>
      <w:r w:rsidRPr="00CE584B">
        <w:rPr>
          <w:rFonts w:ascii="Arial" w:hAnsi="Arial" w:cs="Arial"/>
          <w:bCs/>
          <w:iCs/>
          <w:snapToGrid/>
          <w:szCs w:val="24"/>
        </w:rPr>
        <w:t>:</w:t>
      </w:r>
    </w:p>
    <w:p w14:paraId="54381C24" w14:textId="55120681"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66E0EAB" w14:textId="319F7205" w:rsidR="00EC30F5" w:rsidRPr="00CE584B" w:rsidRDefault="00EC30F5" w:rsidP="005060BD">
      <w:pPr>
        <w:widowControl/>
        <w:pBdr>
          <w:bottom w:val="single" w:sz="24" w:space="1" w:color="auto"/>
        </w:pBdr>
        <w:autoSpaceDE w:val="0"/>
        <w:autoSpaceDN w:val="0"/>
        <w:adjustRightInd w:val="0"/>
        <w:spacing w:before="120"/>
        <w:rPr>
          <w:rFonts w:ascii="Arial" w:eastAsia="Calibri" w:hAnsi="Arial" w:cs="Arial"/>
          <w:iCs/>
          <w:snapToGrid/>
          <w:szCs w:val="24"/>
        </w:rPr>
      </w:pPr>
      <w:r w:rsidRPr="0075085F">
        <w:rPr>
          <w:rFonts w:ascii="Arial" w:hAnsi="Arial" w:cs="Arial"/>
          <w:b/>
          <w:iCs/>
          <w:snapToGrid/>
          <w:szCs w:val="24"/>
        </w:rPr>
        <w:t>Reference</w:t>
      </w:r>
      <w:r w:rsidR="001723B6"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658147B4" w14:textId="0C4F1D86" w:rsidR="00EC30F5" w:rsidRPr="00CE584B" w:rsidRDefault="00EC30F5" w:rsidP="00FE3505">
      <w:pPr>
        <w:widowControl/>
        <w:spacing w:before="120"/>
        <w:rPr>
          <w:rFonts w:ascii="Arial" w:hAnsi="Arial" w:cs="Arial"/>
          <w:szCs w:val="24"/>
        </w:rPr>
      </w:pPr>
    </w:p>
    <w:sectPr w:rsidR="00EC30F5" w:rsidRPr="00CE584B"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E8754" w14:textId="77777777" w:rsidR="0096028F" w:rsidRDefault="0096028F">
      <w:r>
        <w:separator/>
      </w:r>
    </w:p>
    <w:p w14:paraId="533A7FD9" w14:textId="77777777" w:rsidR="0096028F" w:rsidRDefault="0096028F"/>
  </w:endnote>
  <w:endnote w:type="continuationSeparator" w:id="0">
    <w:p w14:paraId="043767C4" w14:textId="77777777" w:rsidR="0096028F" w:rsidRDefault="0096028F">
      <w:r>
        <w:continuationSeparator/>
      </w:r>
    </w:p>
    <w:p w14:paraId="5C94888B" w14:textId="77777777" w:rsidR="0096028F" w:rsidRDefault="00960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1F255F" w:rsidRDefault="001F255F">
    <w:pPr>
      <w:pStyle w:val="Footer"/>
      <w:tabs>
        <w:tab w:val="clear" w:pos="4320"/>
        <w:tab w:val="clear" w:pos="8640"/>
        <w:tab w:val="center" w:pos="4806"/>
        <w:tab w:val="right" w:pos="6696"/>
      </w:tabs>
      <w:ind w:left="108"/>
      <w:rPr>
        <w:rFonts w:ascii="Arial" w:hAnsi="Arial" w:cs="Arial"/>
        <w:sz w:val="16"/>
      </w:rPr>
    </w:pPr>
  </w:p>
  <w:p w14:paraId="5F77EA81" w14:textId="5E1F07B0" w:rsidR="001F255F" w:rsidRDefault="001F255F"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r>
    <w:r w:rsidR="0024440B">
      <w:rPr>
        <w:sz w:val="16"/>
      </w:rPr>
      <w:t>May 3</w:t>
    </w:r>
    <w:r>
      <w:rPr>
        <w:sz w:val="16"/>
      </w:rPr>
      <w:t>, 2021</w:t>
    </w:r>
  </w:p>
  <w:p w14:paraId="166C3041" w14:textId="0B4E1D89" w:rsidR="001F255F" w:rsidRDefault="00082003" w:rsidP="0067477E">
    <w:pPr>
      <w:pStyle w:val="Footer"/>
      <w:tabs>
        <w:tab w:val="clear" w:pos="4320"/>
        <w:tab w:val="clear" w:pos="8640"/>
        <w:tab w:val="center" w:pos="5040"/>
        <w:tab w:val="right" w:pos="9180"/>
      </w:tabs>
      <w:ind w:left="108"/>
      <w:rPr>
        <w:sz w:val="16"/>
      </w:rPr>
    </w:pPr>
    <w:proofErr w:type="spellStart"/>
    <w:r>
      <w:rPr>
        <w:rFonts w:ascii="Arial" w:hAnsi="Arial" w:cs="Arial"/>
        <w:sz w:val="16"/>
      </w:rPr>
      <w:t>HCD</w:t>
    </w:r>
    <w:proofErr w:type="spellEnd"/>
    <w:r>
      <w:rPr>
        <w:rFonts w:ascii="Arial" w:hAnsi="Arial" w:cs="Arial"/>
        <w:sz w:val="16"/>
      </w:rPr>
      <w:t xml:space="preserve"> 06/21</w:t>
    </w:r>
    <w:r w:rsidR="001F255F" w:rsidRPr="00B70204">
      <w:rPr>
        <w:rFonts w:ascii="Arial" w:hAnsi="Arial" w:cs="Arial"/>
        <w:sz w:val="16"/>
      </w:rPr>
      <w:t xml:space="preserve">- Part </w:t>
    </w:r>
    <w:r w:rsidR="001F255F">
      <w:rPr>
        <w:rFonts w:ascii="Arial" w:hAnsi="Arial" w:cs="Arial"/>
        <w:sz w:val="16"/>
      </w:rPr>
      <w:t>2.5</w:t>
    </w:r>
    <w:r>
      <w:rPr>
        <w:rFonts w:ascii="Arial" w:hAnsi="Arial" w:cs="Arial"/>
        <w:sz w:val="16"/>
      </w:rPr>
      <w:t>-Fall Prevention</w:t>
    </w:r>
    <w:r w:rsidR="001F255F" w:rsidRPr="00B70204">
      <w:rPr>
        <w:rFonts w:ascii="Arial" w:hAnsi="Arial" w:cs="Arial"/>
        <w:sz w:val="16"/>
      </w:rPr>
      <w:t xml:space="preserve"> </w:t>
    </w:r>
    <w:r w:rsidR="001F255F">
      <w:rPr>
        <w:rFonts w:ascii="Arial" w:hAnsi="Arial" w:cs="Arial"/>
        <w:sz w:val="16"/>
      </w:rPr>
      <w:t>-</w:t>
    </w:r>
    <w:r w:rsidR="001F255F" w:rsidRPr="00B70204">
      <w:rPr>
        <w:rFonts w:ascii="Arial" w:hAnsi="Arial" w:cs="Arial"/>
        <w:sz w:val="16"/>
      </w:rPr>
      <w:t xml:space="preserve"> </w:t>
    </w:r>
    <w:r w:rsidR="001F255F">
      <w:rPr>
        <w:rFonts w:ascii="Arial" w:hAnsi="Arial" w:cs="Arial"/>
        <w:sz w:val="16"/>
      </w:rPr>
      <w:t>2021 Triennial</w:t>
    </w:r>
    <w:r w:rsidR="001F255F" w:rsidRPr="00E65CE6">
      <w:rPr>
        <w:rFonts w:ascii="Arial" w:hAnsi="Arial" w:cs="Arial"/>
        <w:sz w:val="16"/>
      </w:rPr>
      <w:t xml:space="preserve"> Code Cycle</w:t>
    </w:r>
    <w:r w:rsidR="001F255F">
      <w:rPr>
        <w:sz w:val="16"/>
      </w:rPr>
      <w:tab/>
    </w:r>
    <w:r w:rsidR="001F255F">
      <w:rPr>
        <w:sz w:val="16"/>
      </w:rPr>
      <w:tab/>
    </w:r>
    <w:proofErr w:type="spellStart"/>
    <w:r>
      <w:rPr>
        <w:rFonts w:ascii="Arial" w:hAnsi="Arial"/>
        <w:sz w:val="16"/>
        <w:szCs w:val="16"/>
      </w:rPr>
      <w:t>HCD</w:t>
    </w:r>
    <w:proofErr w:type="spellEnd"/>
    <w:r>
      <w:rPr>
        <w:rFonts w:ascii="Arial" w:hAnsi="Arial"/>
        <w:sz w:val="16"/>
        <w:szCs w:val="16"/>
      </w:rPr>
      <w:t xml:space="preserve"> 06-21</w:t>
    </w:r>
    <w:r w:rsidR="001F255F">
      <w:rPr>
        <w:rFonts w:ascii="Arial" w:hAnsi="Arial"/>
        <w:sz w:val="16"/>
        <w:szCs w:val="16"/>
      </w:rPr>
      <w:t>-</w:t>
    </w:r>
    <w:r w:rsidR="003B409C">
      <w:rPr>
        <w:rFonts w:ascii="Arial" w:hAnsi="Arial"/>
        <w:sz w:val="16"/>
        <w:szCs w:val="16"/>
      </w:rPr>
      <w:t>IET-FP-</w:t>
    </w:r>
    <w:r w:rsidR="001F255F">
      <w:rPr>
        <w:rFonts w:ascii="Arial" w:hAnsi="Arial"/>
        <w:sz w:val="16"/>
        <w:szCs w:val="16"/>
      </w:rPr>
      <w:t>Pt2.5</w:t>
    </w:r>
  </w:p>
  <w:p w14:paraId="156132DC" w14:textId="09670923" w:rsidR="001F255F" w:rsidRPr="004624C8" w:rsidRDefault="001F255F" w:rsidP="0002301B">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901181">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901181">
      <w:rPr>
        <w:rStyle w:val="PageNumber"/>
        <w:rFonts w:ascii="Arial" w:hAnsi="Arial" w:cs="Arial"/>
        <w:noProof/>
        <w:sz w:val="16"/>
      </w:rPr>
      <w:t>4</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7BD16" w14:textId="77777777" w:rsidR="0096028F" w:rsidRDefault="0096028F">
      <w:r>
        <w:separator/>
      </w:r>
    </w:p>
    <w:p w14:paraId="232DEA2F" w14:textId="77777777" w:rsidR="0096028F" w:rsidRDefault="0096028F"/>
  </w:footnote>
  <w:footnote w:type="continuationSeparator" w:id="0">
    <w:p w14:paraId="7E41A57F" w14:textId="77777777" w:rsidR="0096028F" w:rsidRDefault="0096028F">
      <w:r>
        <w:continuationSeparator/>
      </w:r>
    </w:p>
    <w:p w14:paraId="37770434" w14:textId="77777777" w:rsidR="0096028F" w:rsidRDefault="00960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1F255F" w:rsidRDefault="001F255F"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1F255F" w:rsidRDefault="001F255F"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08215674" w14:textId="77777777" w:rsidR="001F255F" w:rsidRDefault="001F25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07DAE"/>
    <w:multiLevelType w:val="hybridMultilevel"/>
    <w:tmpl w:val="92D2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95F26"/>
    <w:multiLevelType w:val="hybridMultilevel"/>
    <w:tmpl w:val="2192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60915"/>
    <w:multiLevelType w:val="multilevel"/>
    <w:tmpl w:val="6DD29E36"/>
    <w:lvl w:ilvl="0">
      <w:start w:val="1"/>
      <w:numFmt w:val="decimal"/>
      <w:lvlText w:val="%1."/>
      <w:lvlJc w:val="left"/>
      <w:pPr>
        <w:ind w:left="360" w:hanging="360"/>
      </w:pPr>
      <w:rPr>
        <w:b/>
        <w:bCs w:val="0"/>
        <w:i w:val="0"/>
        <w:strike w:val="0"/>
        <w:dstrike w:val="0"/>
        <w:sz w:val="24"/>
        <w:szCs w:val="24"/>
        <w:u w:val="none"/>
        <w:effect w:val="none"/>
      </w:rPr>
    </w:lvl>
    <w:lvl w:ilvl="1">
      <w:start w:val="8"/>
      <w:numFmt w:val="decimal"/>
      <w:isLgl/>
      <w:lvlText w:val="%1.%2"/>
      <w:lvlJc w:val="left"/>
      <w:pPr>
        <w:ind w:left="1110" w:hanging="750"/>
      </w:pPr>
    </w:lvl>
    <w:lvl w:ilvl="2">
      <w:start w:val="2"/>
      <w:numFmt w:val="decimal"/>
      <w:isLgl/>
      <w:lvlText w:val="%1.%2.%3"/>
      <w:lvlJc w:val="left"/>
      <w:pPr>
        <w:ind w:left="1110" w:hanging="750"/>
      </w:pPr>
    </w:lvl>
    <w:lvl w:ilvl="3">
      <w:start w:val="1"/>
      <w:numFmt w:val="decimal"/>
      <w:isLgl/>
      <w:lvlText w:val="%1.%2.%3.%4"/>
      <w:lvlJc w:val="left"/>
      <w:pPr>
        <w:ind w:left="1110" w:hanging="750"/>
      </w:pPr>
    </w:lvl>
    <w:lvl w:ilvl="4">
      <w:start w:val="1"/>
      <w:numFmt w:val="decimal"/>
      <w:isLgl/>
      <w:lvlText w:val="%1.%2.%3.%4.%5"/>
      <w:lvlJc w:val="left"/>
      <w:pPr>
        <w:ind w:left="1110" w:hanging="75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189D0591"/>
    <w:multiLevelType w:val="hybridMultilevel"/>
    <w:tmpl w:val="06EA8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81AE5"/>
    <w:multiLevelType w:val="hybridMultilevel"/>
    <w:tmpl w:val="F6DC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A61F2"/>
    <w:multiLevelType w:val="hybridMultilevel"/>
    <w:tmpl w:val="5A8E6164"/>
    <w:lvl w:ilvl="0" w:tplc="B94AC5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DC2E5A"/>
    <w:multiLevelType w:val="multilevel"/>
    <w:tmpl w:val="ED825680"/>
    <w:lvl w:ilvl="0">
      <w:start w:val="1"/>
      <w:numFmt w:val="decimal"/>
      <w:lvlText w:val="%1"/>
      <w:lvlJc w:val="left"/>
      <w:pPr>
        <w:ind w:left="915" w:hanging="915"/>
      </w:pPr>
      <w:rPr>
        <w:rFonts w:hint="default"/>
      </w:rPr>
    </w:lvl>
    <w:lvl w:ilvl="1">
      <w:start w:val="8"/>
      <w:numFmt w:val="decimal"/>
      <w:lvlText w:val="%1.%2"/>
      <w:lvlJc w:val="left"/>
      <w:pPr>
        <w:ind w:left="1192" w:hanging="915"/>
      </w:pPr>
      <w:rPr>
        <w:rFonts w:hint="default"/>
      </w:rPr>
    </w:lvl>
    <w:lvl w:ilvl="2">
      <w:start w:val="2"/>
      <w:numFmt w:val="decimal"/>
      <w:lvlText w:val="%1.%2.%3"/>
      <w:lvlJc w:val="left"/>
      <w:pPr>
        <w:ind w:left="1469" w:hanging="915"/>
      </w:pPr>
      <w:rPr>
        <w:rFonts w:hint="default"/>
      </w:rPr>
    </w:lvl>
    <w:lvl w:ilvl="3">
      <w:start w:val="1"/>
      <w:numFmt w:val="decimal"/>
      <w:lvlText w:val="%1.%2.%3.%4"/>
      <w:lvlJc w:val="left"/>
      <w:pPr>
        <w:ind w:left="1911" w:hanging="1080"/>
      </w:pPr>
      <w:rPr>
        <w:rFonts w:hint="default"/>
      </w:rPr>
    </w:lvl>
    <w:lvl w:ilvl="4">
      <w:start w:val="3"/>
      <w:numFmt w:val="decimal"/>
      <w:lvlText w:val="%1.%2.%3.%4.%5"/>
      <w:lvlJc w:val="left"/>
      <w:pPr>
        <w:ind w:left="5040" w:hanging="1080"/>
      </w:pPr>
      <w:rPr>
        <w:rFonts w:hint="default"/>
      </w:rPr>
    </w:lvl>
    <w:lvl w:ilvl="5">
      <w:start w:val="1"/>
      <w:numFmt w:val="decimal"/>
      <w:lvlText w:val="%1.%2.%3.%4.%5.%6"/>
      <w:lvlJc w:val="left"/>
      <w:pPr>
        <w:ind w:left="2825" w:hanging="144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739" w:hanging="1800"/>
      </w:pPr>
      <w:rPr>
        <w:rFonts w:hint="default"/>
      </w:rPr>
    </w:lvl>
    <w:lvl w:ilvl="8">
      <w:start w:val="1"/>
      <w:numFmt w:val="decimal"/>
      <w:lvlText w:val="%1.%2.%3.%4.%5.%6.%7.%8.%9"/>
      <w:lvlJc w:val="left"/>
      <w:pPr>
        <w:ind w:left="4016" w:hanging="1800"/>
      </w:pPr>
      <w:rPr>
        <w:rFonts w:hint="default"/>
      </w:rPr>
    </w:lvl>
  </w:abstractNum>
  <w:abstractNum w:abstractNumId="7" w15:restartNumberingAfterBreak="0">
    <w:nsid w:val="23E11D29"/>
    <w:multiLevelType w:val="multilevel"/>
    <w:tmpl w:val="5C1AC706"/>
    <w:lvl w:ilvl="0">
      <w:start w:val="1"/>
      <w:numFmt w:val="decimal"/>
      <w:lvlText w:val="%1."/>
      <w:lvlJc w:val="left"/>
      <w:pPr>
        <w:ind w:left="720" w:hanging="360"/>
      </w:pPr>
      <w:rPr>
        <w:rFonts w:hint="default"/>
      </w:rPr>
    </w:lvl>
    <w:lvl w:ilvl="1">
      <w:start w:val="1"/>
      <w:numFmt w:val="decimal"/>
      <w:lvlText w:val="%2.1"/>
      <w:lvlJc w:val="left"/>
      <w:pPr>
        <w:ind w:left="1530" w:hanging="45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18F7854"/>
    <w:multiLevelType w:val="hybridMultilevel"/>
    <w:tmpl w:val="AEBCFDF4"/>
    <w:lvl w:ilvl="0" w:tplc="0409000F">
      <w:start w:val="1"/>
      <w:numFmt w:val="decimal"/>
      <w:lvlText w:val="%1."/>
      <w:lvlJc w:val="left"/>
      <w:pPr>
        <w:ind w:left="720" w:hanging="360"/>
      </w:pPr>
      <w:rPr>
        <w:rFonts w:hint="default"/>
      </w:rPr>
    </w:lvl>
    <w:lvl w:ilvl="1" w:tplc="FC7CBABE">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C1E2F"/>
    <w:multiLevelType w:val="hybridMultilevel"/>
    <w:tmpl w:val="29C8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218DF"/>
    <w:multiLevelType w:val="hybridMultilevel"/>
    <w:tmpl w:val="A788A6AE"/>
    <w:lvl w:ilvl="0" w:tplc="07E8A8E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75724"/>
    <w:multiLevelType w:val="hybridMultilevel"/>
    <w:tmpl w:val="8B5CD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7CAD"/>
    <w:multiLevelType w:val="multilevel"/>
    <w:tmpl w:val="5B28A6D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AFE3BC6"/>
    <w:multiLevelType w:val="hybridMultilevel"/>
    <w:tmpl w:val="958A6E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CE4B86"/>
    <w:multiLevelType w:val="hybridMultilevel"/>
    <w:tmpl w:val="40849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7D78DF"/>
    <w:multiLevelType w:val="multilevel"/>
    <w:tmpl w:val="A15CAEAE"/>
    <w:lvl w:ilvl="0">
      <w:start w:val="1"/>
      <w:numFmt w:val="decimal"/>
      <w:lvlText w:val="%1."/>
      <w:lvlJc w:val="left"/>
      <w:pPr>
        <w:ind w:left="465" w:hanging="33"/>
      </w:pPr>
      <w:rPr>
        <w:rFonts w:hint="default"/>
        <w:i w:val="0"/>
        <w:iCs w:val="0"/>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7" w15:restartNumberingAfterBreak="0">
    <w:nsid w:val="4F203EF0"/>
    <w:multiLevelType w:val="hybridMultilevel"/>
    <w:tmpl w:val="3062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9F6FEB"/>
    <w:multiLevelType w:val="hybridMultilevel"/>
    <w:tmpl w:val="4F1E9D74"/>
    <w:lvl w:ilvl="0" w:tplc="64661F22">
      <w:start w:val="1"/>
      <w:numFmt w:val="decimal"/>
      <w:lvlText w:val="%1."/>
      <w:lvlJc w:val="left"/>
      <w:pPr>
        <w:ind w:left="1080" w:hanging="360"/>
      </w:pPr>
      <w:rPr>
        <w:rFonts w:hint="default"/>
      </w:rPr>
    </w:lvl>
    <w:lvl w:ilvl="1" w:tplc="0868E64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C03916"/>
    <w:multiLevelType w:val="hybridMultilevel"/>
    <w:tmpl w:val="9990CEF0"/>
    <w:lvl w:ilvl="0" w:tplc="B94AC5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7B4603"/>
    <w:multiLevelType w:val="multilevel"/>
    <w:tmpl w:val="AFEC8EC6"/>
    <w:lvl w:ilvl="0">
      <w:start w:val="2"/>
      <w:numFmt w:val="decimal"/>
      <w:lvlText w:val="%1."/>
      <w:lvlJc w:val="left"/>
      <w:pPr>
        <w:ind w:left="720" w:hanging="360"/>
      </w:pPr>
      <w:rPr>
        <w:rFonts w:hint="default"/>
      </w:rPr>
    </w:lvl>
    <w:lvl w:ilvl="1">
      <w:numFmt w:val="decimal"/>
      <w:lvlText w:val="%2.1"/>
      <w:lvlJc w:val="left"/>
      <w:pPr>
        <w:ind w:left="1530" w:hanging="45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AF767E"/>
    <w:multiLevelType w:val="hybridMultilevel"/>
    <w:tmpl w:val="93DE3F88"/>
    <w:lvl w:ilvl="0" w:tplc="0409000F">
      <w:start w:val="1"/>
      <w:numFmt w:val="decimal"/>
      <w:lvlText w:val="%1."/>
      <w:lvlJc w:val="left"/>
      <w:pPr>
        <w:ind w:left="720" w:hanging="360"/>
      </w:pPr>
      <w:rPr>
        <w:rFonts w:hint="default"/>
      </w:rPr>
    </w:lvl>
    <w:lvl w:ilvl="1" w:tplc="FC7CBABE">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20967"/>
    <w:multiLevelType w:val="multilevel"/>
    <w:tmpl w:val="A73AF1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71313B9E"/>
    <w:multiLevelType w:val="hybridMultilevel"/>
    <w:tmpl w:val="3CB42288"/>
    <w:lvl w:ilvl="0" w:tplc="64661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652AB9"/>
    <w:multiLevelType w:val="hybridMultilevel"/>
    <w:tmpl w:val="F4E45C9C"/>
    <w:lvl w:ilvl="0" w:tplc="3A203BD0">
      <w:start w:val="1"/>
      <w:numFmt w:val="decimal"/>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7"/>
  </w:num>
  <w:num w:numId="4">
    <w:abstractNumId w:val="1"/>
  </w:num>
  <w:num w:numId="5">
    <w:abstractNumId w:val="15"/>
  </w:num>
  <w:num w:numId="6">
    <w:abstractNumId w:val="14"/>
  </w:num>
  <w:num w:numId="7">
    <w:abstractNumId w:val="2"/>
  </w:num>
  <w:num w:numId="8">
    <w:abstractNumId w:val="6"/>
  </w:num>
  <w:num w:numId="9">
    <w:abstractNumId w:val="24"/>
  </w:num>
  <w:num w:numId="10">
    <w:abstractNumId w:val="13"/>
  </w:num>
  <w:num w:numId="11">
    <w:abstractNumId w:val="12"/>
  </w:num>
  <w:num w:numId="12">
    <w:abstractNumId w:val="22"/>
  </w:num>
  <w:num w:numId="13">
    <w:abstractNumId w:val="0"/>
  </w:num>
  <w:num w:numId="14">
    <w:abstractNumId w:val="10"/>
  </w:num>
  <w:num w:numId="15">
    <w:abstractNumId w:val="19"/>
  </w:num>
  <w:num w:numId="16">
    <w:abstractNumId w:val="5"/>
  </w:num>
  <w:num w:numId="17">
    <w:abstractNumId w:val="18"/>
  </w:num>
  <w:num w:numId="18">
    <w:abstractNumId w:val="23"/>
  </w:num>
  <w:num w:numId="19">
    <w:abstractNumId w:val="8"/>
  </w:num>
  <w:num w:numId="20">
    <w:abstractNumId w:val="9"/>
  </w:num>
  <w:num w:numId="21">
    <w:abstractNumId w:val="16"/>
  </w:num>
  <w:num w:numId="22">
    <w:abstractNumId w:val="21"/>
  </w:num>
  <w:num w:numId="23">
    <w:abstractNumId w:val="3"/>
  </w:num>
  <w:num w:numId="24">
    <w:abstractNumId w:val="7"/>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377"/>
    <w:rsid w:val="000062CD"/>
    <w:rsid w:val="00016692"/>
    <w:rsid w:val="00016EC9"/>
    <w:rsid w:val="00017699"/>
    <w:rsid w:val="0002301B"/>
    <w:rsid w:val="000257AD"/>
    <w:rsid w:val="00027DCE"/>
    <w:rsid w:val="00040472"/>
    <w:rsid w:val="00042556"/>
    <w:rsid w:val="000439F9"/>
    <w:rsid w:val="00050DCC"/>
    <w:rsid w:val="0007795A"/>
    <w:rsid w:val="00082003"/>
    <w:rsid w:val="000925CE"/>
    <w:rsid w:val="000A2D7E"/>
    <w:rsid w:val="000E24B4"/>
    <w:rsid w:val="000E322C"/>
    <w:rsid w:val="000E5E61"/>
    <w:rsid w:val="000E7796"/>
    <w:rsid w:val="000F25B5"/>
    <w:rsid w:val="00116677"/>
    <w:rsid w:val="00121F03"/>
    <w:rsid w:val="00123CB6"/>
    <w:rsid w:val="00123F82"/>
    <w:rsid w:val="00137624"/>
    <w:rsid w:val="00137CDE"/>
    <w:rsid w:val="00140550"/>
    <w:rsid w:val="001536C1"/>
    <w:rsid w:val="001625A4"/>
    <w:rsid w:val="001701D4"/>
    <w:rsid w:val="00171F9D"/>
    <w:rsid w:val="001723B6"/>
    <w:rsid w:val="00175203"/>
    <w:rsid w:val="00175449"/>
    <w:rsid w:val="00176583"/>
    <w:rsid w:val="001919F3"/>
    <w:rsid w:val="001A2431"/>
    <w:rsid w:val="001A5272"/>
    <w:rsid w:val="001B124C"/>
    <w:rsid w:val="001B2CAE"/>
    <w:rsid w:val="001B3D04"/>
    <w:rsid w:val="001C78C2"/>
    <w:rsid w:val="001E635B"/>
    <w:rsid w:val="001E690C"/>
    <w:rsid w:val="001E71BA"/>
    <w:rsid w:val="001F255F"/>
    <w:rsid w:val="001F3417"/>
    <w:rsid w:val="00202604"/>
    <w:rsid w:val="00203931"/>
    <w:rsid w:val="00214AD4"/>
    <w:rsid w:val="0021681E"/>
    <w:rsid w:val="002217EB"/>
    <w:rsid w:val="002322FF"/>
    <w:rsid w:val="00234A84"/>
    <w:rsid w:val="002435A2"/>
    <w:rsid w:val="0024440B"/>
    <w:rsid w:val="00251D8E"/>
    <w:rsid w:val="002604E2"/>
    <w:rsid w:val="002702FE"/>
    <w:rsid w:val="00271B43"/>
    <w:rsid w:val="0027362E"/>
    <w:rsid w:val="002740F6"/>
    <w:rsid w:val="00292F67"/>
    <w:rsid w:val="00296C82"/>
    <w:rsid w:val="002A2507"/>
    <w:rsid w:val="002A3CCD"/>
    <w:rsid w:val="002A4D52"/>
    <w:rsid w:val="002A4DB5"/>
    <w:rsid w:val="002A55E0"/>
    <w:rsid w:val="002C03CE"/>
    <w:rsid w:val="002C62F7"/>
    <w:rsid w:val="002E03D9"/>
    <w:rsid w:val="002F066A"/>
    <w:rsid w:val="002F0BD1"/>
    <w:rsid w:val="002F1B6A"/>
    <w:rsid w:val="002F34EB"/>
    <w:rsid w:val="002F696A"/>
    <w:rsid w:val="0030639B"/>
    <w:rsid w:val="0031448E"/>
    <w:rsid w:val="00333A67"/>
    <w:rsid w:val="00337D66"/>
    <w:rsid w:val="00346181"/>
    <w:rsid w:val="0035338E"/>
    <w:rsid w:val="00353BA8"/>
    <w:rsid w:val="00357EB8"/>
    <w:rsid w:val="003718BA"/>
    <w:rsid w:val="00371DCE"/>
    <w:rsid w:val="00374638"/>
    <w:rsid w:val="00377615"/>
    <w:rsid w:val="00386EA2"/>
    <w:rsid w:val="00394567"/>
    <w:rsid w:val="0039639B"/>
    <w:rsid w:val="00396F27"/>
    <w:rsid w:val="003A3F1B"/>
    <w:rsid w:val="003A5EC5"/>
    <w:rsid w:val="003B344F"/>
    <w:rsid w:val="003B409C"/>
    <w:rsid w:val="003B79A2"/>
    <w:rsid w:val="003C000E"/>
    <w:rsid w:val="003F1EE2"/>
    <w:rsid w:val="003F7FD6"/>
    <w:rsid w:val="004210A2"/>
    <w:rsid w:val="004259A3"/>
    <w:rsid w:val="00437850"/>
    <w:rsid w:val="00441AF0"/>
    <w:rsid w:val="0044401E"/>
    <w:rsid w:val="00457CDC"/>
    <w:rsid w:val="004624C8"/>
    <w:rsid w:val="00467754"/>
    <w:rsid w:val="00471C77"/>
    <w:rsid w:val="00492534"/>
    <w:rsid w:val="004A129E"/>
    <w:rsid w:val="004A72E2"/>
    <w:rsid w:val="004B18CE"/>
    <w:rsid w:val="004B2238"/>
    <w:rsid w:val="004B2AB9"/>
    <w:rsid w:val="004B3C05"/>
    <w:rsid w:val="004C0306"/>
    <w:rsid w:val="004F27B2"/>
    <w:rsid w:val="005060BD"/>
    <w:rsid w:val="00507BB7"/>
    <w:rsid w:val="0051096B"/>
    <w:rsid w:val="00513451"/>
    <w:rsid w:val="005153A4"/>
    <w:rsid w:val="005318F9"/>
    <w:rsid w:val="005535DF"/>
    <w:rsid w:val="00562BB3"/>
    <w:rsid w:val="00566465"/>
    <w:rsid w:val="005826EC"/>
    <w:rsid w:val="0058789B"/>
    <w:rsid w:val="005906D6"/>
    <w:rsid w:val="00595227"/>
    <w:rsid w:val="005A550F"/>
    <w:rsid w:val="005A6E87"/>
    <w:rsid w:val="005B1317"/>
    <w:rsid w:val="005C67D1"/>
    <w:rsid w:val="005E162F"/>
    <w:rsid w:val="005E167E"/>
    <w:rsid w:val="005E4A25"/>
    <w:rsid w:val="005E4A3D"/>
    <w:rsid w:val="005E6371"/>
    <w:rsid w:val="005F1F14"/>
    <w:rsid w:val="005F6E51"/>
    <w:rsid w:val="00611E5F"/>
    <w:rsid w:val="006139FB"/>
    <w:rsid w:val="006217E8"/>
    <w:rsid w:val="00621EBC"/>
    <w:rsid w:val="00625067"/>
    <w:rsid w:val="0062750B"/>
    <w:rsid w:val="00627EBD"/>
    <w:rsid w:val="006515C3"/>
    <w:rsid w:val="0067477E"/>
    <w:rsid w:val="00694A2F"/>
    <w:rsid w:val="006955FA"/>
    <w:rsid w:val="006A2DAE"/>
    <w:rsid w:val="006B1472"/>
    <w:rsid w:val="006B4801"/>
    <w:rsid w:val="006C5BDE"/>
    <w:rsid w:val="006D74C1"/>
    <w:rsid w:val="006D7850"/>
    <w:rsid w:val="00700726"/>
    <w:rsid w:val="0070359F"/>
    <w:rsid w:val="00704C9C"/>
    <w:rsid w:val="007105E9"/>
    <w:rsid w:val="00713507"/>
    <w:rsid w:val="00720004"/>
    <w:rsid w:val="00723F31"/>
    <w:rsid w:val="007318E3"/>
    <w:rsid w:val="00733E31"/>
    <w:rsid w:val="007411FD"/>
    <w:rsid w:val="0075085F"/>
    <w:rsid w:val="007564BE"/>
    <w:rsid w:val="00764F22"/>
    <w:rsid w:val="0076580E"/>
    <w:rsid w:val="007872FD"/>
    <w:rsid w:val="007938E4"/>
    <w:rsid w:val="007B2B8D"/>
    <w:rsid w:val="007B38CD"/>
    <w:rsid w:val="007B6F2A"/>
    <w:rsid w:val="007C0129"/>
    <w:rsid w:val="007E41CA"/>
    <w:rsid w:val="007E5559"/>
    <w:rsid w:val="007F7694"/>
    <w:rsid w:val="00810A22"/>
    <w:rsid w:val="00813588"/>
    <w:rsid w:val="00817F5A"/>
    <w:rsid w:val="00823527"/>
    <w:rsid w:val="00824E7A"/>
    <w:rsid w:val="00827167"/>
    <w:rsid w:val="008319FB"/>
    <w:rsid w:val="008324DF"/>
    <w:rsid w:val="00833003"/>
    <w:rsid w:val="008376D7"/>
    <w:rsid w:val="00843A09"/>
    <w:rsid w:val="00851B30"/>
    <w:rsid w:val="00866236"/>
    <w:rsid w:val="00870778"/>
    <w:rsid w:val="00883EDD"/>
    <w:rsid w:val="008A2AC5"/>
    <w:rsid w:val="008A4A16"/>
    <w:rsid w:val="008A6CD2"/>
    <w:rsid w:val="008A72BC"/>
    <w:rsid w:val="008B317B"/>
    <w:rsid w:val="008B4B9E"/>
    <w:rsid w:val="008C5FC4"/>
    <w:rsid w:val="008D1CF4"/>
    <w:rsid w:val="008D4AD2"/>
    <w:rsid w:val="008D7FFC"/>
    <w:rsid w:val="008E0E16"/>
    <w:rsid w:val="008E2158"/>
    <w:rsid w:val="008E3497"/>
    <w:rsid w:val="008E36A8"/>
    <w:rsid w:val="00901181"/>
    <w:rsid w:val="00914212"/>
    <w:rsid w:val="00916B81"/>
    <w:rsid w:val="009204C5"/>
    <w:rsid w:val="00920F3B"/>
    <w:rsid w:val="00921D6C"/>
    <w:rsid w:val="00922C5E"/>
    <w:rsid w:val="00923125"/>
    <w:rsid w:val="00923CA5"/>
    <w:rsid w:val="00947484"/>
    <w:rsid w:val="00957E07"/>
    <w:rsid w:val="0096028F"/>
    <w:rsid w:val="00962CE2"/>
    <w:rsid w:val="00980228"/>
    <w:rsid w:val="009919F6"/>
    <w:rsid w:val="00992142"/>
    <w:rsid w:val="00992CB9"/>
    <w:rsid w:val="009A014A"/>
    <w:rsid w:val="009A09B4"/>
    <w:rsid w:val="009A4125"/>
    <w:rsid w:val="009A693A"/>
    <w:rsid w:val="009B5A08"/>
    <w:rsid w:val="009C3FC9"/>
    <w:rsid w:val="009D0690"/>
    <w:rsid w:val="009D4145"/>
    <w:rsid w:val="009E6B12"/>
    <w:rsid w:val="009E7724"/>
    <w:rsid w:val="009F4116"/>
    <w:rsid w:val="009F659C"/>
    <w:rsid w:val="00A0187D"/>
    <w:rsid w:val="00A01E4F"/>
    <w:rsid w:val="00A03455"/>
    <w:rsid w:val="00A0381D"/>
    <w:rsid w:val="00A21DD3"/>
    <w:rsid w:val="00A40CFA"/>
    <w:rsid w:val="00A46B4C"/>
    <w:rsid w:val="00A60CA1"/>
    <w:rsid w:val="00A60DA5"/>
    <w:rsid w:val="00A70181"/>
    <w:rsid w:val="00A82E7B"/>
    <w:rsid w:val="00A8340A"/>
    <w:rsid w:val="00A86A4A"/>
    <w:rsid w:val="00A97432"/>
    <w:rsid w:val="00AA1609"/>
    <w:rsid w:val="00AA21C3"/>
    <w:rsid w:val="00AB718C"/>
    <w:rsid w:val="00AC1F10"/>
    <w:rsid w:val="00AC6024"/>
    <w:rsid w:val="00AD0174"/>
    <w:rsid w:val="00AD217E"/>
    <w:rsid w:val="00AD67B3"/>
    <w:rsid w:val="00AF0B1D"/>
    <w:rsid w:val="00AF4E96"/>
    <w:rsid w:val="00B1149C"/>
    <w:rsid w:val="00B14B8B"/>
    <w:rsid w:val="00B179E1"/>
    <w:rsid w:val="00B21B81"/>
    <w:rsid w:val="00B22BC5"/>
    <w:rsid w:val="00B23880"/>
    <w:rsid w:val="00B25FD7"/>
    <w:rsid w:val="00B26510"/>
    <w:rsid w:val="00B35333"/>
    <w:rsid w:val="00B4142C"/>
    <w:rsid w:val="00B549E7"/>
    <w:rsid w:val="00B60BBF"/>
    <w:rsid w:val="00B70204"/>
    <w:rsid w:val="00B85E7B"/>
    <w:rsid w:val="00BA3AA8"/>
    <w:rsid w:val="00BA3DB0"/>
    <w:rsid w:val="00BA52A0"/>
    <w:rsid w:val="00BB3CE2"/>
    <w:rsid w:val="00BB559A"/>
    <w:rsid w:val="00BC0A2A"/>
    <w:rsid w:val="00BC573C"/>
    <w:rsid w:val="00BC7FAB"/>
    <w:rsid w:val="00BD6A83"/>
    <w:rsid w:val="00C001E2"/>
    <w:rsid w:val="00C02741"/>
    <w:rsid w:val="00C14134"/>
    <w:rsid w:val="00C23B4A"/>
    <w:rsid w:val="00C5511B"/>
    <w:rsid w:val="00C57320"/>
    <w:rsid w:val="00C6395B"/>
    <w:rsid w:val="00C64A99"/>
    <w:rsid w:val="00C66872"/>
    <w:rsid w:val="00C67695"/>
    <w:rsid w:val="00C67B72"/>
    <w:rsid w:val="00C73EDF"/>
    <w:rsid w:val="00C772D5"/>
    <w:rsid w:val="00C81281"/>
    <w:rsid w:val="00CA2740"/>
    <w:rsid w:val="00CC2CDF"/>
    <w:rsid w:val="00CD514F"/>
    <w:rsid w:val="00CE584B"/>
    <w:rsid w:val="00CF0071"/>
    <w:rsid w:val="00CF3372"/>
    <w:rsid w:val="00CF54AB"/>
    <w:rsid w:val="00D018DD"/>
    <w:rsid w:val="00D267CA"/>
    <w:rsid w:val="00D33523"/>
    <w:rsid w:val="00D37B03"/>
    <w:rsid w:val="00D406E8"/>
    <w:rsid w:val="00D53B72"/>
    <w:rsid w:val="00D63194"/>
    <w:rsid w:val="00D655DD"/>
    <w:rsid w:val="00D72A17"/>
    <w:rsid w:val="00D73448"/>
    <w:rsid w:val="00D91AE2"/>
    <w:rsid w:val="00D93BE4"/>
    <w:rsid w:val="00DB2882"/>
    <w:rsid w:val="00DB4F0C"/>
    <w:rsid w:val="00DC1DA3"/>
    <w:rsid w:val="00DC6EA1"/>
    <w:rsid w:val="00E04110"/>
    <w:rsid w:val="00E0458F"/>
    <w:rsid w:val="00E04E0D"/>
    <w:rsid w:val="00E127B7"/>
    <w:rsid w:val="00E13B91"/>
    <w:rsid w:val="00E34D55"/>
    <w:rsid w:val="00E36325"/>
    <w:rsid w:val="00E375EC"/>
    <w:rsid w:val="00E3790F"/>
    <w:rsid w:val="00E434EC"/>
    <w:rsid w:val="00E53D35"/>
    <w:rsid w:val="00E540D9"/>
    <w:rsid w:val="00E63331"/>
    <w:rsid w:val="00E65CE6"/>
    <w:rsid w:val="00E66D7F"/>
    <w:rsid w:val="00E76DC2"/>
    <w:rsid w:val="00E80470"/>
    <w:rsid w:val="00E83F12"/>
    <w:rsid w:val="00E956A5"/>
    <w:rsid w:val="00EA21F7"/>
    <w:rsid w:val="00EB2BA3"/>
    <w:rsid w:val="00EB7277"/>
    <w:rsid w:val="00EC30F5"/>
    <w:rsid w:val="00EC66A6"/>
    <w:rsid w:val="00EC7524"/>
    <w:rsid w:val="00ED0ADA"/>
    <w:rsid w:val="00ED6324"/>
    <w:rsid w:val="00EE08EB"/>
    <w:rsid w:val="00EE3CF0"/>
    <w:rsid w:val="00EF2461"/>
    <w:rsid w:val="00EF26E2"/>
    <w:rsid w:val="00EF7E0B"/>
    <w:rsid w:val="00F06528"/>
    <w:rsid w:val="00F121E0"/>
    <w:rsid w:val="00F152F2"/>
    <w:rsid w:val="00F163D3"/>
    <w:rsid w:val="00F17139"/>
    <w:rsid w:val="00F21B9E"/>
    <w:rsid w:val="00F31172"/>
    <w:rsid w:val="00F50EF7"/>
    <w:rsid w:val="00F56BC4"/>
    <w:rsid w:val="00F768B4"/>
    <w:rsid w:val="00F82AB6"/>
    <w:rsid w:val="00F9000B"/>
    <w:rsid w:val="00F94286"/>
    <w:rsid w:val="00F952A3"/>
    <w:rsid w:val="00FA00C4"/>
    <w:rsid w:val="00FA5F05"/>
    <w:rsid w:val="00FB1D64"/>
    <w:rsid w:val="00FB1EA2"/>
    <w:rsid w:val="00FB1FFC"/>
    <w:rsid w:val="00FB7064"/>
    <w:rsid w:val="00FC3694"/>
    <w:rsid w:val="00FC3BDE"/>
    <w:rsid w:val="00FD363F"/>
    <w:rsid w:val="00FD45EA"/>
    <w:rsid w:val="00FD6697"/>
    <w:rsid w:val="00FD6F3E"/>
    <w:rsid w:val="00FE026C"/>
    <w:rsid w:val="00FE21DD"/>
    <w:rsid w:val="00FE3505"/>
    <w:rsid w:val="00FF11EA"/>
    <w:rsid w:val="00FF21E3"/>
    <w:rsid w:val="00FF238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Heading3"/>
    <w:qFormat/>
    <w:rsid w:val="00371DCE"/>
    <w:pPr>
      <w:widowControl w:val="0"/>
    </w:pPr>
    <w:rPr>
      <w:rFonts w:ascii="Helvetica" w:hAnsi="Helvetica"/>
      <w:snapToGrid w:val="0"/>
      <w:sz w:val="24"/>
    </w:rPr>
  </w:style>
  <w:style w:type="paragraph" w:styleId="Heading1">
    <w:name w:val="heading 1"/>
    <w:basedOn w:val="Normal"/>
    <w:next w:val="Normal"/>
    <w:link w:val="Heading1Char"/>
    <w:qFormat/>
    <w:rsid w:val="001F255F"/>
    <w:pPr>
      <w:keepNext/>
      <w:widowControl/>
      <w:tabs>
        <w:tab w:val="center" w:pos="4680"/>
      </w:tabs>
      <w:jc w:val="center"/>
      <w:outlineLvl w:val="0"/>
    </w:pPr>
    <w:rPr>
      <w:rFonts w:ascii="Arial" w:hAnsi="Arial"/>
      <w:b/>
      <w:szCs w:val="24"/>
    </w:rPr>
  </w:style>
  <w:style w:type="paragraph" w:styleId="Heading2">
    <w:name w:val="heading 2"/>
    <w:basedOn w:val="Normal"/>
    <w:next w:val="Normal"/>
    <w:link w:val="Heading2Char"/>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qFormat/>
    <w:rsid w:val="005E167E"/>
    <w:pPr>
      <w:keepNext/>
      <w:keepLines/>
      <w:spacing w:before="240" w:after="240"/>
      <w:outlineLvl w:val="2"/>
    </w:pPr>
    <w:rPr>
      <w:rFonts w:ascii="Arial" w:eastAsiaTheme="majorEastAsia" w:hAnsi="Arial" w:cstheme="majorBidi"/>
      <w:b/>
      <w:szCs w:val="24"/>
    </w:rPr>
  </w:style>
  <w:style w:type="paragraph" w:styleId="Heading4">
    <w:name w:val="heading 4"/>
    <w:basedOn w:val="Normal"/>
    <w:next w:val="Normal"/>
    <w:link w:val="Heading4Char"/>
    <w:semiHidden/>
    <w:unhideWhenUsed/>
    <w:qFormat/>
    <w:rsid w:val="00EC30F5"/>
    <w:pPr>
      <w:keepNext/>
      <w:widowControl/>
      <w:autoSpaceDE w:val="0"/>
      <w:autoSpaceDN w:val="0"/>
      <w:adjustRightInd w:val="0"/>
      <w:ind w:left="720"/>
      <w:outlineLvl w:val="3"/>
    </w:pPr>
    <w:rPr>
      <w:rFonts w:ascii="Arial" w:hAnsi="Arial" w:cs="Arial"/>
      <w:b/>
      <w:bCs/>
      <w:i/>
      <w:iCs/>
      <w:snapToGrid/>
      <w:u w:val="single"/>
    </w:rPr>
  </w:style>
  <w:style w:type="paragraph" w:styleId="Heading5">
    <w:name w:val="heading 5"/>
    <w:basedOn w:val="Normal"/>
    <w:next w:val="Normal"/>
    <w:link w:val="Heading5Char"/>
    <w:semiHidden/>
    <w:unhideWhenUsed/>
    <w:qFormat/>
    <w:rsid w:val="00EC30F5"/>
    <w:pPr>
      <w:keepNext/>
      <w:widowControl/>
      <w:tabs>
        <w:tab w:val="center" w:pos="4680"/>
      </w:tabs>
      <w:suppressAutoHyphens/>
      <w:jc w:val="center"/>
      <w:outlineLvl w:val="4"/>
    </w:pPr>
    <w:rPr>
      <w:rFonts w:ascii="Arial" w:hAnsi="Arial" w:cs="Arial"/>
      <w:b/>
      <w:bCs/>
      <w:snapToGrid/>
      <w:spacing w:val="-3"/>
      <w:szCs w:val="24"/>
    </w:rPr>
  </w:style>
  <w:style w:type="paragraph" w:styleId="Heading6">
    <w:name w:val="heading 6"/>
    <w:basedOn w:val="Normal"/>
    <w:next w:val="Normal"/>
    <w:link w:val="Heading6Char"/>
    <w:semiHidden/>
    <w:unhideWhenUsed/>
    <w:qFormat/>
    <w:rsid w:val="00EC30F5"/>
    <w:pPr>
      <w:keepNext/>
      <w:widowControl/>
      <w:tabs>
        <w:tab w:val="center" w:pos="4680"/>
      </w:tabs>
      <w:suppressAutoHyphens/>
      <w:jc w:val="both"/>
      <w:outlineLvl w:val="5"/>
    </w:pPr>
    <w:rPr>
      <w:rFonts w:ascii="Arial" w:hAnsi="Arial" w:cs="Arial"/>
      <w:b/>
      <w:bCs/>
      <w:snapToGrid/>
      <w:spacing w:val="-3"/>
      <w:szCs w:val="24"/>
    </w:rPr>
  </w:style>
  <w:style w:type="paragraph" w:styleId="Heading7">
    <w:name w:val="heading 7"/>
    <w:basedOn w:val="Normal"/>
    <w:next w:val="Normal"/>
    <w:link w:val="Heading7Char"/>
    <w:uiPriority w:val="99"/>
    <w:semiHidden/>
    <w:unhideWhenUsed/>
    <w:qFormat/>
    <w:rsid w:val="00EC30F5"/>
    <w:pPr>
      <w:keepNext/>
      <w:widowControl/>
      <w:tabs>
        <w:tab w:val="center" w:pos="4680"/>
      </w:tabs>
      <w:suppressAutoHyphens/>
      <w:jc w:val="both"/>
      <w:outlineLvl w:val="6"/>
    </w:pPr>
    <w:rPr>
      <w:rFonts w:ascii="Arial" w:hAnsi="Arial" w:cs="Arial"/>
      <w:b/>
      <w:bCs/>
      <w:snapToGrid/>
      <w:spacing w:val="-3"/>
      <w:szCs w:val="24"/>
      <w:u w:val="single"/>
    </w:rPr>
  </w:style>
  <w:style w:type="paragraph" w:styleId="Heading8">
    <w:name w:val="heading 8"/>
    <w:basedOn w:val="Normal"/>
    <w:next w:val="Normal"/>
    <w:link w:val="Heading8Char"/>
    <w:uiPriority w:val="99"/>
    <w:semiHidden/>
    <w:unhideWhenUsed/>
    <w:qFormat/>
    <w:rsid w:val="00EC30F5"/>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center"/>
      <w:outlineLvl w:val="7"/>
    </w:pPr>
    <w:rPr>
      <w:rFonts w:ascii="Arial" w:hAnsi="Arial" w:cs="Arial"/>
      <w:b/>
      <w:bCs/>
      <w:snapToGrid/>
      <w:spacing w:val="-3"/>
      <w:szCs w:val="24"/>
    </w:rPr>
  </w:style>
  <w:style w:type="paragraph" w:styleId="Heading9">
    <w:name w:val="heading 9"/>
    <w:basedOn w:val="Normal"/>
    <w:next w:val="Normal"/>
    <w:link w:val="Heading9Char"/>
    <w:uiPriority w:val="99"/>
    <w:semiHidden/>
    <w:unhideWhenUsed/>
    <w:qFormat/>
    <w:rsid w:val="00EC30F5"/>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outlineLvl w:val="8"/>
    </w:pPr>
    <w:rPr>
      <w:rFonts w:ascii="Arial" w:hAnsi="Arial" w:cs="Arial"/>
      <w:b/>
      <w:bCs/>
      <w:snapToGrid/>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uiPriority w:val="99"/>
    <w:pPr>
      <w:widowControl/>
    </w:pPr>
    <w:rPr>
      <w:rFonts w:ascii="Arial" w:hAnsi="Arial"/>
      <w:b/>
      <w:sz w:val="20"/>
      <w:u w:val="single"/>
    </w:rPr>
  </w:style>
  <w:style w:type="paragraph" w:styleId="BodyText2">
    <w:name w:val="Body Text 2"/>
    <w:basedOn w:val="Normal"/>
    <w:link w:val="BodyText2Char"/>
    <w:uiPriority w:val="99"/>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uiPriority w:val="99"/>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uiPriority w:val="99"/>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99"/>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uiPriority w:val="99"/>
    <w:rsid w:val="004259A3"/>
    <w:rPr>
      <w:b/>
      <w:bCs/>
    </w:rPr>
  </w:style>
  <w:style w:type="character" w:customStyle="1" w:styleId="CommentSubjectChar">
    <w:name w:val="Comment Subject Char"/>
    <w:basedOn w:val="CommentTextChar"/>
    <w:link w:val="CommentSubject"/>
    <w:uiPriority w:val="99"/>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4Char">
    <w:name w:val="Heading 4 Char"/>
    <w:basedOn w:val="DefaultParagraphFont"/>
    <w:link w:val="Heading4"/>
    <w:semiHidden/>
    <w:rsid w:val="00EC30F5"/>
    <w:rPr>
      <w:rFonts w:ascii="Arial" w:hAnsi="Arial" w:cs="Arial"/>
      <w:b/>
      <w:bCs/>
      <w:i/>
      <w:iCs/>
      <w:sz w:val="24"/>
      <w:u w:val="single"/>
    </w:rPr>
  </w:style>
  <w:style w:type="character" w:customStyle="1" w:styleId="Heading3Char">
    <w:name w:val="Heading 3 Char"/>
    <w:basedOn w:val="DefaultParagraphFont"/>
    <w:link w:val="Heading3"/>
    <w:rsid w:val="005E167E"/>
    <w:rPr>
      <w:rFonts w:ascii="Arial" w:eastAsiaTheme="majorEastAsia" w:hAnsi="Arial" w:cstheme="majorBidi"/>
      <w:b/>
      <w:snapToGrid w:val="0"/>
      <w:sz w:val="24"/>
      <w:szCs w:val="24"/>
    </w:rPr>
  </w:style>
  <w:style w:type="character" w:customStyle="1" w:styleId="Heading5Char">
    <w:name w:val="Heading 5 Char"/>
    <w:basedOn w:val="DefaultParagraphFont"/>
    <w:link w:val="Heading5"/>
    <w:semiHidden/>
    <w:rsid w:val="00EC30F5"/>
    <w:rPr>
      <w:rFonts w:ascii="Arial" w:hAnsi="Arial" w:cs="Arial"/>
      <w:b/>
      <w:bCs/>
      <w:spacing w:val="-3"/>
      <w:sz w:val="24"/>
      <w:szCs w:val="24"/>
    </w:rPr>
  </w:style>
  <w:style w:type="character" w:customStyle="1" w:styleId="Heading6Char">
    <w:name w:val="Heading 6 Char"/>
    <w:basedOn w:val="DefaultParagraphFont"/>
    <w:link w:val="Heading6"/>
    <w:semiHidden/>
    <w:rsid w:val="00EC30F5"/>
    <w:rPr>
      <w:rFonts w:ascii="Arial" w:hAnsi="Arial" w:cs="Arial"/>
      <w:b/>
      <w:bCs/>
      <w:spacing w:val="-3"/>
      <w:sz w:val="24"/>
      <w:szCs w:val="24"/>
    </w:rPr>
  </w:style>
  <w:style w:type="character" w:customStyle="1" w:styleId="Heading7Char">
    <w:name w:val="Heading 7 Char"/>
    <w:basedOn w:val="DefaultParagraphFont"/>
    <w:link w:val="Heading7"/>
    <w:uiPriority w:val="99"/>
    <w:semiHidden/>
    <w:rsid w:val="00EC30F5"/>
    <w:rPr>
      <w:rFonts w:ascii="Arial" w:hAnsi="Arial" w:cs="Arial"/>
      <w:b/>
      <w:bCs/>
      <w:spacing w:val="-3"/>
      <w:sz w:val="24"/>
      <w:szCs w:val="24"/>
      <w:u w:val="single"/>
    </w:rPr>
  </w:style>
  <w:style w:type="character" w:customStyle="1" w:styleId="Heading8Char">
    <w:name w:val="Heading 8 Char"/>
    <w:basedOn w:val="DefaultParagraphFont"/>
    <w:link w:val="Heading8"/>
    <w:uiPriority w:val="99"/>
    <w:semiHidden/>
    <w:rsid w:val="00EC30F5"/>
    <w:rPr>
      <w:rFonts w:ascii="Arial" w:hAnsi="Arial" w:cs="Arial"/>
      <w:b/>
      <w:bCs/>
      <w:spacing w:val="-3"/>
      <w:sz w:val="24"/>
      <w:szCs w:val="24"/>
    </w:rPr>
  </w:style>
  <w:style w:type="character" w:customStyle="1" w:styleId="Heading9Char">
    <w:name w:val="Heading 9 Char"/>
    <w:basedOn w:val="DefaultParagraphFont"/>
    <w:link w:val="Heading9"/>
    <w:uiPriority w:val="99"/>
    <w:semiHidden/>
    <w:rsid w:val="00EC30F5"/>
    <w:rPr>
      <w:rFonts w:ascii="Arial" w:hAnsi="Arial" w:cs="Arial"/>
      <w:b/>
      <w:bCs/>
      <w:sz w:val="24"/>
      <w:szCs w:val="24"/>
    </w:rPr>
  </w:style>
  <w:style w:type="numbering" w:customStyle="1" w:styleId="NoList1">
    <w:name w:val="No List1"/>
    <w:next w:val="NoList"/>
    <w:uiPriority w:val="99"/>
    <w:semiHidden/>
    <w:unhideWhenUsed/>
    <w:rsid w:val="00EC30F5"/>
  </w:style>
  <w:style w:type="character" w:customStyle="1" w:styleId="FooterChar">
    <w:name w:val="Footer Char"/>
    <w:basedOn w:val="DefaultParagraphFont"/>
    <w:link w:val="Footer"/>
    <w:uiPriority w:val="99"/>
    <w:rsid w:val="00EC30F5"/>
    <w:rPr>
      <w:rFonts w:ascii="Helvetica" w:hAnsi="Helvetica"/>
      <w:snapToGrid w:val="0"/>
      <w:sz w:val="24"/>
    </w:rPr>
  </w:style>
  <w:style w:type="character" w:customStyle="1" w:styleId="BodyText3Char">
    <w:name w:val="Body Text 3 Char"/>
    <w:basedOn w:val="DefaultParagraphFont"/>
    <w:link w:val="BodyText3"/>
    <w:uiPriority w:val="99"/>
    <w:rsid w:val="00EC30F5"/>
    <w:rPr>
      <w:rFonts w:ascii="Helvetica" w:hAnsi="Helvetica"/>
      <w:snapToGrid w:val="0"/>
      <w:sz w:val="24"/>
    </w:rPr>
  </w:style>
  <w:style w:type="character" w:customStyle="1" w:styleId="Heading1Char">
    <w:name w:val="Heading 1 Char"/>
    <w:basedOn w:val="DefaultParagraphFont"/>
    <w:link w:val="Heading1"/>
    <w:rsid w:val="001F255F"/>
    <w:rPr>
      <w:rFonts w:ascii="Arial" w:hAnsi="Arial"/>
      <w:b/>
      <w:snapToGrid w:val="0"/>
      <w:sz w:val="24"/>
      <w:szCs w:val="24"/>
    </w:rPr>
  </w:style>
  <w:style w:type="character" w:customStyle="1" w:styleId="Heading2Char">
    <w:name w:val="Heading 2 Char"/>
    <w:basedOn w:val="DefaultParagraphFont"/>
    <w:link w:val="Heading2"/>
    <w:rsid w:val="00EC30F5"/>
    <w:rPr>
      <w:rFonts w:ascii="Arial" w:hAnsi="Arial"/>
      <w:b/>
      <w:snapToGrid w:val="0"/>
      <w:sz w:val="24"/>
    </w:rPr>
  </w:style>
  <w:style w:type="numbering" w:customStyle="1" w:styleId="NoList11">
    <w:name w:val="No List11"/>
    <w:next w:val="NoList"/>
    <w:uiPriority w:val="99"/>
    <w:semiHidden/>
    <w:unhideWhenUsed/>
    <w:rsid w:val="00EC30F5"/>
  </w:style>
  <w:style w:type="character" w:styleId="Hyperlink">
    <w:name w:val="Hyperlink"/>
    <w:semiHidden/>
    <w:unhideWhenUsed/>
    <w:rsid w:val="00EC30F5"/>
    <w:rPr>
      <w:strike w:val="0"/>
      <w:dstrike w:val="0"/>
      <w:color w:val="0663B2"/>
      <w:u w:val="none"/>
      <w:effect w:val="none"/>
    </w:rPr>
  </w:style>
  <w:style w:type="character" w:customStyle="1" w:styleId="FollowedHyperlink1">
    <w:name w:val="FollowedHyperlink1"/>
    <w:basedOn w:val="DefaultParagraphFont"/>
    <w:uiPriority w:val="99"/>
    <w:semiHidden/>
    <w:unhideWhenUsed/>
    <w:rsid w:val="00EC30F5"/>
    <w:rPr>
      <w:color w:val="954F72"/>
      <w:u w:val="single"/>
    </w:rPr>
  </w:style>
  <w:style w:type="paragraph" w:styleId="HTMLPreformatted">
    <w:name w:val="HTML Preformatted"/>
    <w:basedOn w:val="Normal"/>
    <w:link w:val="HTMLPreformattedChar"/>
    <w:semiHidden/>
    <w:unhideWhenUsed/>
    <w:rsid w:val="00EC30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semiHidden/>
    <w:rsid w:val="00EC30F5"/>
    <w:rPr>
      <w:rFonts w:ascii="Courier New" w:hAnsi="Courier New" w:cs="Courier New"/>
    </w:rPr>
  </w:style>
  <w:style w:type="paragraph" w:customStyle="1" w:styleId="msonormal0">
    <w:name w:val="msonormal"/>
    <w:basedOn w:val="Normal"/>
    <w:uiPriority w:val="99"/>
    <w:rsid w:val="00EC30F5"/>
    <w:pPr>
      <w:widowControl/>
      <w:spacing w:before="100" w:beforeAutospacing="1" w:after="100" w:afterAutospacing="1"/>
    </w:pPr>
    <w:rPr>
      <w:rFonts w:ascii="Times New Roman" w:hAnsi="Times New Roman"/>
      <w:snapToGrid/>
      <w:szCs w:val="24"/>
    </w:rPr>
  </w:style>
  <w:style w:type="paragraph" w:styleId="NormalWeb">
    <w:name w:val="Normal (Web)"/>
    <w:basedOn w:val="Normal"/>
    <w:uiPriority w:val="99"/>
    <w:semiHidden/>
    <w:unhideWhenUsed/>
    <w:rsid w:val="00EC30F5"/>
    <w:pPr>
      <w:widowControl/>
      <w:spacing w:before="100" w:beforeAutospacing="1" w:after="100" w:afterAutospacing="1"/>
    </w:pPr>
    <w:rPr>
      <w:rFonts w:ascii="Times New Roman" w:hAnsi="Times New Roman"/>
      <w:snapToGrid/>
      <w:szCs w:val="24"/>
    </w:rPr>
  </w:style>
  <w:style w:type="paragraph" w:styleId="FootnoteText">
    <w:name w:val="footnote text"/>
    <w:basedOn w:val="Normal"/>
    <w:link w:val="FootnoteTextChar"/>
    <w:uiPriority w:val="99"/>
    <w:semiHidden/>
    <w:unhideWhenUsed/>
    <w:rsid w:val="00EC30F5"/>
    <w:pPr>
      <w:widowControl/>
      <w:overflowPunct w:val="0"/>
      <w:autoSpaceDE w:val="0"/>
      <w:autoSpaceDN w:val="0"/>
      <w:adjustRightInd w:val="0"/>
    </w:pPr>
    <w:rPr>
      <w:rFonts w:ascii="Times New Roman" w:hAnsi="Times New Roman"/>
      <w:snapToGrid/>
      <w:sz w:val="20"/>
    </w:rPr>
  </w:style>
  <w:style w:type="character" w:customStyle="1" w:styleId="FootnoteTextChar">
    <w:name w:val="Footnote Text Char"/>
    <w:basedOn w:val="DefaultParagraphFont"/>
    <w:link w:val="FootnoteText"/>
    <w:uiPriority w:val="99"/>
    <w:semiHidden/>
    <w:rsid w:val="00EC30F5"/>
  </w:style>
  <w:style w:type="paragraph" w:styleId="Caption">
    <w:name w:val="caption"/>
    <w:basedOn w:val="Normal"/>
    <w:next w:val="Normal"/>
    <w:uiPriority w:val="99"/>
    <w:semiHidden/>
    <w:unhideWhenUsed/>
    <w:qFormat/>
    <w:rsid w:val="00EC30F5"/>
    <w:pPr>
      <w:widowControl/>
      <w:overflowPunct w:val="0"/>
      <w:autoSpaceDE w:val="0"/>
      <w:autoSpaceDN w:val="0"/>
      <w:adjustRightInd w:val="0"/>
    </w:pPr>
    <w:rPr>
      <w:rFonts w:ascii="Arial" w:hAnsi="Arial"/>
      <w:b/>
      <w:snapToGrid/>
    </w:rPr>
  </w:style>
  <w:style w:type="character" w:customStyle="1" w:styleId="BodyTextChar">
    <w:name w:val="Body Text Char"/>
    <w:basedOn w:val="DefaultParagraphFont"/>
    <w:link w:val="BodyText"/>
    <w:uiPriority w:val="99"/>
    <w:rsid w:val="00EC30F5"/>
    <w:rPr>
      <w:rFonts w:ascii="Arial" w:hAnsi="Arial"/>
      <w:b/>
      <w:snapToGrid w:val="0"/>
      <w:u w:val="single"/>
    </w:rPr>
  </w:style>
  <w:style w:type="paragraph" w:styleId="BodyTextIndent">
    <w:name w:val="Body Text Indent"/>
    <w:basedOn w:val="Normal"/>
    <w:link w:val="BodyTextIndentChar"/>
    <w:uiPriority w:val="99"/>
    <w:semiHidden/>
    <w:unhideWhenUsed/>
    <w:rsid w:val="00EC30F5"/>
    <w:pPr>
      <w:widowControl/>
      <w:tabs>
        <w:tab w:val="left" w:pos="0"/>
      </w:tabs>
      <w:suppressAutoHyphens/>
      <w:ind w:left="720"/>
      <w:jc w:val="both"/>
    </w:pPr>
    <w:rPr>
      <w:rFonts w:ascii="CG Times" w:hAnsi="CG Times"/>
      <w:i/>
      <w:snapToGrid/>
      <w:szCs w:val="24"/>
    </w:rPr>
  </w:style>
  <w:style w:type="character" w:customStyle="1" w:styleId="BodyTextIndentChar">
    <w:name w:val="Body Text Indent Char"/>
    <w:basedOn w:val="DefaultParagraphFont"/>
    <w:link w:val="BodyTextIndent"/>
    <w:uiPriority w:val="99"/>
    <w:semiHidden/>
    <w:rsid w:val="00EC30F5"/>
    <w:rPr>
      <w:rFonts w:ascii="CG Times" w:hAnsi="CG Times"/>
      <w:i/>
      <w:sz w:val="24"/>
      <w:szCs w:val="24"/>
    </w:rPr>
  </w:style>
  <w:style w:type="paragraph" w:styleId="Subtitle">
    <w:name w:val="Subtitle"/>
    <w:basedOn w:val="Normal"/>
    <w:link w:val="SubtitleChar"/>
    <w:uiPriority w:val="99"/>
    <w:qFormat/>
    <w:rsid w:val="00EC30F5"/>
    <w:pPr>
      <w:widowControl/>
    </w:pPr>
    <w:rPr>
      <w:rFonts w:ascii="Times New Roman" w:eastAsia="Times" w:hAnsi="Times New Roman"/>
      <w:snapToGrid/>
      <w:sz w:val="28"/>
      <w:lang w:val="en-GB"/>
    </w:rPr>
  </w:style>
  <w:style w:type="character" w:customStyle="1" w:styleId="SubtitleChar">
    <w:name w:val="Subtitle Char"/>
    <w:basedOn w:val="DefaultParagraphFont"/>
    <w:link w:val="Subtitle"/>
    <w:uiPriority w:val="99"/>
    <w:rsid w:val="00EC30F5"/>
    <w:rPr>
      <w:rFonts w:eastAsia="Times"/>
      <w:sz w:val="28"/>
      <w:lang w:val="en-GB"/>
    </w:rPr>
  </w:style>
  <w:style w:type="character" w:customStyle="1" w:styleId="BodyText2Char">
    <w:name w:val="Body Text 2 Char"/>
    <w:basedOn w:val="DefaultParagraphFont"/>
    <w:link w:val="BodyText2"/>
    <w:uiPriority w:val="99"/>
    <w:rsid w:val="00EC30F5"/>
    <w:rPr>
      <w:rFonts w:ascii="Arial" w:hAnsi="Arial"/>
      <w:b/>
      <w:snapToGrid w:val="0"/>
    </w:rPr>
  </w:style>
  <w:style w:type="paragraph" w:styleId="BodyTextIndent2">
    <w:name w:val="Body Text Indent 2"/>
    <w:basedOn w:val="Normal"/>
    <w:link w:val="BodyTextIndent2Char"/>
    <w:uiPriority w:val="99"/>
    <w:semiHidden/>
    <w:unhideWhenUsed/>
    <w:rsid w:val="00EC30F5"/>
    <w:pPr>
      <w:widowControl/>
      <w:tabs>
        <w:tab w:val="left" w:pos="-720"/>
      </w:tabs>
      <w:suppressAutoHyphens/>
      <w:ind w:left="1440"/>
      <w:jc w:val="both"/>
    </w:pPr>
    <w:rPr>
      <w:rFonts w:ascii="Times New Roman" w:hAnsi="Times New Roman"/>
      <w:i/>
      <w:snapToGrid/>
      <w:spacing w:val="-3"/>
      <w:szCs w:val="24"/>
    </w:rPr>
  </w:style>
  <w:style w:type="character" w:customStyle="1" w:styleId="BodyTextIndent2Char">
    <w:name w:val="Body Text Indent 2 Char"/>
    <w:basedOn w:val="DefaultParagraphFont"/>
    <w:link w:val="BodyTextIndent2"/>
    <w:uiPriority w:val="99"/>
    <w:semiHidden/>
    <w:rsid w:val="00EC30F5"/>
    <w:rPr>
      <w:i/>
      <w:spacing w:val="-3"/>
      <w:sz w:val="24"/>
      <w:szCs w:val="24"/>
    </w:rPr>
  </w:style>
  <w:style w:type="paragraph" w:styleId="BodyTextIndent3">
    <w:name w:val="Body Text Indent 3"/>
    <w:basedOn w:val="Normal"/>
    <w:link w:val="BodyTextIndent3Char"/>
    <w:uiPriority w:val="99"/>
    <w:semiHidden/>
    <w:unhideWhenUsed/>
    <w:rsid w:val="00EC30F5"/>
    <w:pPr>
      <w:widowControl/>
      <w:tabs>
        <w:tab w:val="left" w:pos="-720"/>
      </w:tabs>
      <w:suppressAutoHyphens/>
      <w:ind w:left="1440" w:hanging="1440"/>
      <w:jc w:val="both"/>
    </w:pPr>
    <w:rPr>
      <w:rFonts w:ascii="Times New Roman" w:hAnsi="Times New Roman"/>
      <w:i/>
      <w:snapToGrid/>
      <w:spacing w:val="-3"/>
      <w:szCs w:val="24"/>
      <w:u w:val="single"/>
    </w:rPr>
  </w:style>
  <w:style w:type="character" w:customStyle="1" w:styleId="BodyTextIndent3Char">
    <w:name w:val="Body Text Indent 3 Char"/>
    <w:basedOn w:val="DefaultParagraphFont"/>
    <w:link w:val="BodyTextIndent3"/>
    <w:uiPriority w:val="99"/>
    <w:semiHidden/>
    <w:rsid w:val="00EC30F5"/>
    <w:rPr>
      <w:i/>
      <w:spacing w:val="-3"/>
      <w:sz w:val="24"/>
      <w:szCs w:val="24"/>
      <w:u w:val="single"/>
    </w:rPr>
  </w:style>
  <w:style w:type="paragraph" w:styleId="BlockText">
    <w:name w:val="Block Text"/>
    <w:basedOn w:val="Normal"/>
    <w:uiPriority w:val="99"/>
    <w:semiHidden/>
    <w:unhideWhenUsed/>
    <w:rsid w:val="00EC30F5"/>
    <w:pPr>
      <w:widowControl/>
      <w:tabs>
        <w:tab w:val="left" w:pos="1260"/>
      </w:tabs>
      <w:autoSpaceDE w:val="0"/>
      <w:autoSpaceDN w:val="0"/>
      <w:adjustRightInd w:val="0"/>
      <w:ind w:left="1260" w:right="2160" w:hanging="540"/>
    </w:pPr>
    <w:rPr>
      <w:rFonts w:ascii="Arial" w:hAnsi="Arial" w:cs="Arial"/>
      <w:snapToGrid/>
    </w:rPr>
  </w:style>
  <w:style w:type="paragraph" w:styleId="DocumentMap">
    <w:name w:val="Document Map"/>
    <w:basedOn w:val="Normal"/>
    <w:link w:val="DocumentMapChar"/>
    <w:uiPriority w:val="99"/>
    <w:semiHidden/>
    <w:unhideWhenUsed/>
    <w:rsid w:val="00EC30F5"/>
    <w:pPr>
      <w:widowControl/>
      <w:shd w:val="clear" w:color="auto" w:fill="000080"/>
      <w:overflowPunct w:val="0"/>
      <w:autoSpaceDE w:val="0"/>
      <w:autoSpaceDN w:val="0"/>
      <w:adjustRightInd w:val="0"/>
    </w:pPr>
    <w:rPr>
      <w:rFonts w:ascii="Tahoma" w:hAnsi="Tahoma" w:cs="Tahoma"/>
      <w:snapToGrid/>
      <w:sz w:val="20"/>
    </w:rPr>
  </w:style>
  <w:style w:type="character" w:customStyle="1" w:styleId="DocumentMapChar">
    <w:name w:val="Document Map Char"/>
    <w:basedOn w:val="DefaultParagraphFont"/>
    <w:link w:val="DocumentMap"/>
    <w:uiPriority w:val="99"/>
    <w:semiHidden/>
    <w:rsid w:val="00EC30F5"/>
    <w:rPr>
      <w:rFonts w:ascii="Tahoma" w:hAnsi="Tahoma" w:cs="Tahoma"/>
      <w:shd w:val="clear" w:color="auto" w:fill="000080"/>
    </w:rPr>
  </w:style>
  <w:style w:type="paragraph" w:styleId="PlainText">
    <w:name w:val="Plain Text"/>
    <w:basedOn w:val="Normal"/>
    <w:link w:val="PlainTextChar"/>
    <w:uiPriority w:val="99"/>
    <w:semiHidden/>
    <w:unhideWhenUsed/>
    <w:rsid w:val="00EC30F5"/>
    <w:pPr>
      <w:widowControl/>
    </w:pPr>
    <w:rPr>
      <w:rFonts w:ascii="Consolas" w:hAnsi="Consolas"/>
      <w:snapToGrid/>
      <w:sz w:val="21"/>
      <w:szCs w:val="21"/>
    </w:rPr>
  </w:style>
  <w:style w:type="character" w:customStyle="1" w:styleId="PlainTextChar">
    <w:name w:val="Plain Text Char"/>
    <w:basedOn w:val="DefaultParagraphFont"/>
    <w:link w:val="PlainText"/>
    <w:uiPriority w:val="99"/>
    <w:semiHidden/>
    <w:rsid w:val="00EC30F5"/>
    <w:rPr>
      <w:rFonts w:ascii="Consolas" w:hAnsi="Consolas"/>
      <w:sz w:val="21"/>
      <w:szCs w:val="21"/>
    </w:rPr>
  </w:style>
  <w:style w:type="paragraph" w:styleId="Revision">
    <w:name w:val="Revision"/>
    <w:uiPriority w:val="99"/>
    <w:semiHidden/>
    <w:rsid w:val="00EC30F5"/>
    <w:rPr>
      <w:sz w:val="24"/>
      <w:szCs w:val="24"/>
    </w:rPr>
  </w:style>
  <w:style w:type="paragraph" w:customStyle="1" w:styleId="TxBrp10">
    <w:name w:val="TxBr_p10"/>
    <w:basedOn w:val="Normal"/>
    <w:uiPriority w:val="99"/>
    <w:rsid w:val="00EC30F5"/>
    <w:pPr>
      <w:tabs>
        <w:tab w:val="left" w:pos="255"/>
      </w:tabs>
      <w:overflowPunct w:val="0"/>
      <w:autoSpaceDE w:val="0"/>
      <w:autoSpaceDN w:val="0"/>
      <w:adjustRightInd w:val="0"/>
      <w:spacing w:line="249" w:lineRule="atLeast"/>
      <w:ind w:left="601"/>
      <w:jc w:val="both"/>
    </w:pPr>
    <w:rPr>
      <w:rFonts w:ascii="Arial" w:hAnsi="Arial" w:cs="Arial"/>
      <w:snapToGrid/>
      <w:szCs w:val="24"/>
    </w:rPr>
  </w:style>
  <w:style w:type="paragraph" w:customStyle="1" w:styleId="TxBrp6">
    <w:name w:val="TxBr_p6"/>
    <w:basedOn w:val="Normal"/>
    <w:uiPriority w:val="99"/>
    <w:rsid w:val="00EC30F5"/>
    <w:pPr>
      <w:tabs>
        <w:tab w:val="left" w:pos="272"/>
        <w:tab w:val="left" w:pos="1009"/>
      </w:tabs>
      <w:overflowPunct w:val="0"/>
      <w:autoSpaceDE w:val="0"/>
      <w:autoSpaceDN w:val="0"/>
      <w:adjustRightInd w:val="0"/>
      <w:spacing w:line="240" w:lineRule="atLeast"/>
      <w:ind w:left="1009" w:hanging="737"/>
      <w:jc w:val="both"/>
    </w:pPr>
    <w:rPr>
      <w:rFonts w:ascii="Arial" w:hAnsi="Arial" w:cs="Arial"/>
      <w:snapToGrid/>
      <w:szCs w:val="24"/>
    </w:rPr>
  </w:style>
  <w:style w:type="paragraph" w:customStyle="1" w:styleId="TxBrp9">
    <w:name w:val="TxBr_p9"/>
    <w:basedOn w:val="Normal"/>
    <w:uiPriority w:val="99"/>
    <w:rsid w:val="00EC30F5"/>
    <w:pPr>
      <w:tabs>
        <w:tab w:val="left" w:pos="272"/>
      </w:tabs>
      <w:overflowPunct w:val="0"/>
      <w:autoSpaceDE w:val="0"/>
      <w:autoSpaceDN w:val="0"/>
      <w:adjustRightInd w:val="0"/>
      <w:spacing w:line="243" w:lineRule="atLeast"/>
      <w:ind w:left="584"/>
      <w:jc w:val="both"/>
    </w:pPr>
    <w:rPr>
      <w:rFonts w:ascii="Times New Roman" w:hAnsi="Times New Roman"/>
      <w:snapToGrid/>
    </w:rPr>
  </w:style>
  <w:style w:type="paragraph" w:customStyle="1" w:styleId="ChapterTitle">
    <w:name w:val="Chapter Title"/>
    <w:basedOn w:val="Normal"/>
    <w:next w:val="Heading1"/>
    <w:uiPriority w:val="99"/>
    <w:rsid w:val="00EC30F5"/>
    <w:pPr>
      <w:widowControl/>
      <w:overflowPunct w:val="0"/>
      <w:autoSpaceDE w:val="0"/>
      <w:autoSpaceDN w:val="0"/>
      <w:adjustRightInd w:val="0"/>
      <w:spacing w:line="340" w:lineRule="exact"/>
      <w:jc w:val="center"/>
    </w:pPr>
    <w:rPr>
      <w:b/>
      <w:caps/>
      <w:noProof/>
      <w:snapToGrid/>
      <w:sz w:val="32"/>
    </w:rPr>
  </w:style>
  <w:style w:type="paragraph" w:customStyle="1" w:styleId="ChapterHeads">
    <w:name w:val="Chapter Heads"/>
    <w:basedOn w:val="Normal"/>
    <w:next w:val="Normal"/>
    <w:uiPriority w:val="99"/>
    <w:rsid w:val="00EC30F5"/>
    <w:pPr>
      <w:widowControl/>
      <w:overflowPunct w:val="0"/>
      <w:autoSpaceDE w:val="0"/>
      <w:autoSpaceDN w:val="0"/>
      <w:adjustRightInd w:val="0"/>
      <w:spacing w:line="260" w:lineRule="exact"/>
      <w:jc w:val="center"/>
    </w:pPr>
    <w:rPr>
      <w:b/>
      <w:caps/>
      <w:snapToGrid/>
    </w:rPr>
  </w:style>
  <w:style w:type="paragraph" w:customStyle="1" w:styleId="Normal7">
    <w:name w:val="Normal7"/>
    <w:basedOn w:val="Normal"/>
    <w:uiPriority w:val="99"/>
    <w:rsid w:val="00EC30F5"/>
    <w:pPr>
      <w:widowControl/>
      <w:overflowPunct w:val="0"/>
      <w:autoSpaceDE w:val="0"/>
      <w:autoSpaceDN w:val="0"/>
      <w:adjustRightInd w:val="0"/>
    </w:pPr>
    <w:rPr>
      <w:rFonts w:ascii="Times" w:hAnsi="Times"/>
      <w:noProof/>
      <w:snapToGrid/>
      <w:sz w:val="20"/>
    </w:rPr>
  </w:style>
  <w:style w:type="paragraph" w:customStyle="1" w:styleId="Normal8">
    <w:name w:val="Normal8"/>
    <w:basedOn w:val="Normal"/>
    <w:uiPriority w:val="99"/>
    <w:rsid w:val="00EC30F5"/>
    <w:pPr>
      <w:widowControl/>
      <w:overflowPunct w:val="0"/>
      <w:autoSpaceDE w:val="0"/>
      <w:autoSpaceDN w:val="0"/>
      <w:adjustRightInd w:val="0"/>
    </w:pPr>
    <w:rPr>
      <w:rFonts w:ascii="Times" w:hAnsi="Times"/>
      <w:noProof/>
      <w:snapToGrid/>
      <w:sz w:val="20"/>
    </w:rPr>
  </w:style>
  <w:style w:type="paragraph" w:customStyle="1" w:styleId="Default">
    <w:name w:val="Default"/>
    <w:uiPriority w:val="99"/>
    <w:rsid w:val="00EC30F5"/>
    <w:pPr>
      <w:autoSpaceDE w:val="0"/>
      <w:autoSpaceDN w:val="0"/>
      <w:adjustRightInd w:val="0"/>
    </w:pPr>
    <w:rPr>
      <w:rFonts w:ascii="Arial" w:hAnsi="Arial" w:cs="Arial"/>
      <w:color w:val="000000"/>
      <w:sz w:val="24"/>
      <w:szCs w:val="24"/>
    </w:rPr>
  </w:style>
  <w:style w:type="character" w:customStyle="1" w:styleId="EmailStyle40">
    <w:name w:val="EmailStyle40"/>
    <w:semiHidden/>
    <w:rsid w:val="00EC30F5"/>
    <w:rPr>
      <w:rFonts w:ascii="Arial" w:hAnsi="Arial" w:cs="Arial" w:hint="default"/>
      <w:strike w:val="0"/>
      <w:dstrike w:val="0"/>
      <w:color w:val="auto"/>
      <w:sz w:val="24"/>
      <w:szCs w:val="24"/>
      <w:u w:val="none"/>
      <w:effect w:val="none"/>
    </w:rPr>
  </w:style>
  <w:style w:type="character" w:customStyle="1" w:styleId="EmailStyle41">
    <w:name w:val="EmailStyle41"/>
    <w:rsid w:val="00EC30F5"/>
    <w:rPr>
      <w:rFonts w:ascii="Arial" w:hAnsi="Arial" w:cs="Arial" w:hint="default"/>
      <w:color w:val="000000"/>
      <w:sz w:val="20"/>
      <w:szCs w:val="20"/>
    </w:rPr>
  </w:style>
  <w:style w:type="character" w:customStyle="1" w:styleId="copy1">
    <w:name w:val="copy1"/>
    <w:rsid w:val="00EC30F5"/>
    <w:rPr>
      <w:rFonts w:ascii="Arial" w:hAnsi="Arial" w:cs="Arial" w:hint="default"/>
      <w:b w:val="0"/>
      <w:bCs w:val="0"/>
      <w:i w:val="0"/>
      <w:iCs w:val="0"/>
      <w:color w:val="000000"/>
      <w:sz w:val="18"/>
      <w:szCs w:val="18"/>
    </w:rPr>
  </w:style>
  <w:style w:type="character" w:customStyle="1" w:styleId="copyemph1">
    <w:name w:val="copyemph1"/>
    <w:rsid w:val="00EC30F5"/>
    <w:rPr>
      <w:rFonts w:ascii="Arial" w:hAnsi="Arial" w:cs="Arial" w:hint="default"/>
      <w:b/>
      <w:bCs/>
      <w:i w:val="0"/>
      <w:iCs w:val="0"/>
      <w:color w:val="000000"/>
      <w:sz w:val="18"/>
      <w:szCs w:val="18"/>
    </w:rPr>
  </w:style>
  <w:style w:type="character" w:customStyle="1" w:styleId="highlight1">
    <w:name w:val="highlight1"/>
    <w:rsid w:val="00EC30F5"/>
    <w:rPr>
      <w:b/>
      <w:bCs/>
      <w:color w:val="000000"/>
      <w:sz w:val="18"/>
      <w:szCs w:val="18"/>
      <w:bdr w:val="outset" w:sz="6" w:space="0" w:color="E9E9E9" w:frame="1"/>
      <w:shd w:val="clear" w:color="auto" w:fill="EEEEEE"/>
    </w:rPr>
  </w:style>
  <w:style w:type="character" w:customStyle="1" w:styleId="PlainTextChar1">
    <w:name w:val="Plain Text Char1"/>
    <w:basedOn w:val="DefaultParagraphFont"/>
    <w:uiPriority w:val="99"/>
    <w:semiHidden/>
    <w:rsid w:val="00EC30F5"/>
    <w:rPr>
      <w:rFonts w:ascii="Consolas" w:hAnsi="Consolas" w:hint="default"/>
      <w:sz w:val="21"/>
      <w:szCs w:val="21"/>
    </w:rPr>
  </w:style>
  <w:style w:type="table" w:customStyle="1" w:styleId="TableGrid1">
    <w:name w:val="Table Grid1"/>
    <w:basedOn w:val="TableNormal"/>
    <w:next w:val="TableGrid"/>
    <w:uiPriority w:val="39"/>
    <w:rsid w:val="00EC30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EC30F5"/>
    <w:rPr>
      <w:rFonts w:ascii="Arial" w:eastAsia="Calibri" w:hAnsi="Arial"/>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30F5"/>
    <w:rPr>
      <w:sz w:val="24"/>
      <w:szCs w:val="24"/>
    </w:rPr>
  </w:style>
  <w:style w:type="character" w:styleId="Emphasis">
    <w:name w:val="Emphasis"/>
    <w:basedOn w:val="DefaultParagraphFont"/>
    <w:uiPriority w:val="20"/>
    <w:qFormat/>
    <w:rsid w:val="00EC30F5"/>
    <w:rPr>
      <w:i/>
      <w:iCs/>
    </w:rPr>
  </w:style>
  <w:style w:type="character" w:styleId="FollowedHyperlink">
    <w:name w:val="FollowedHyperlink"/>
    <w:basedOn w:val="DefaultParagraphFont"/>
    <w:semiHidden/>
    <w:unhideWhenUsed/>
    <w:rsid w:val="00EC3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37341-4E92-4654-84B0-CF56FEF2D54D}">
  <ds:schemaRefs>
    <ds:schemaRef ds:uri="http://schemas.openxmlformats.org/officeDocument/2006/bibliography"/>
  </ds:schemaRefs>
</ds:datastoreItem>
</file>

<file path=customXml/itemProps2.xml><?xml version="1.0" encoding="utf-8"?>
<ds:datastoreItem xmlns:ds="http://schemas.openxmlformats.org/officeDocument/2006/customXml" ds:itemID="{4C012802-47AD-456D-B4F4-85C96633C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D66AC3-C7B0-48C0-97BC-F32E9C868E7D}">
  <ds:schemaRefs>
    <ds:schemaRef ds:uri="http://schemas.microsoft.com/sharepoint/v3/contenttype/forms"/>
  </ds:schemaRefs>
</ds:datastoreItem>
</file>

<file path=customXml/itemProps4.xml><?xml version="1.0" encoding="utf-8"?>
<ds:datastoreItem xmlns:ds="http://schemas.openxmlformats.org/officeDocument/2006/customXml" ds:itemID="{B1015954-1D17-428F-A2F0-F906891ED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1317</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creator>CBSC</dc:creator>
  <cp:lastModifiedBy>Mills, Laura@DGS</cp:lastModifiedBy>
  <cp:revision>29</cp:revision>
  <cp:lastPrinted>2020-06-10T21:02:00Z</cp:lastPrinted>
  <dcterms:created xsi:type="dcterms:W3CDTF">2021-04-29T18:11:00Z</dcterms:created>
  <dcterms:modified xsi:type="dcterms:W3CDTF">2021-06-21T17:52:00Z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