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44CC" w14:textId="5AEB77F0" w:rsidR="00767766" w:rsidRPr="0044593B" w:rsidRDefault="00786248" w:rsidP="004B6230">
      <w:pPr>
        <w:pStyle w:val="Heading1"/>
        <w:spacing w:before="0" w:after="0"/>
        <w:jc w:val="center"/>
        <w:rPr>
          <w:rFonts w:cs="Arial"/>
        </w:rPr>
      </w:pPr>
      <w:r w:rsidRPr="0044593B">
        <w:rPr>
          <w:rFonts w:cs="Arial"/>
        </w:rPr>
        <w:t>ADDITIONAL</w:t>
      </w:r>
      <w:r w:rsidR="00767766" w:rsidRPr="0044593B">
        <w:rPr>
          <w:rFonts w:cs="Arial"/>
        </w:rPr>
        <w:t xml:space="preserve"> </w:t>
      </w:r>
      <w:r w:rsidR="006B4376">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C760F2">
        <w:rPr>
          <w:rFonts w:cs="Arial"/>
        </w:rPr>
        <w:t xml:space="preserve"> </w:t>
      </w:r>
      <w:r w:rsidR="00767766" w:rsidRPr="0044593B">
        <w:rPr>
          <w:rFonts w:cs="Arial"/>
        </w:rPr>
        <w:t>OF THE</w:t>
      </w:r>
      <w:r w:rsidR="00C760F2">
        <w:rPr>
          <w:rFonts w:cs="Arial"/>
        </w:rPr>
        <w:br/>
      </w:r>
      <w:r w:rsidR="00767766" w:rsidRPr="0044593B">
        <w:rPr>
          <w:rFonts w:cs="Arial"/>
        </w:rPr>
        <w:t xml:space="preserve"> </w:t>
      </w:r>
      <w:r w:rsidR="00C760F2">
        <w:rPr>
          <w:rFonts w:cs="Arial"/>
        </w:rPr>
        <w:t>CALIFORNIA DEPARTMENT OF HOUSING AND COMMUNITY DEVELOPMENT</w:t>
      </w:r>
      <w:r w:rsidR="00767766" w:rsidRPr="0044593B">
        <w:rPr>
          <w:rFonts w:cs="Arial"/>
        </w:rPr>
        <w:br/>
        <w:t xml:space="preserve">REGARDING THE </w:t>
      </w:r>
      <w:r w:rsidR="00C760F2">
        <w:rPr>
          <w:rFonts w:cs="Arial"/>
        </w:rPr>
        <w:t>2022 CALIFORNIA RESIDENTIAL CODE</w:t>
      </w:r>
      <w:r w:rsidR="00767766" w:rsidRPr="0044593B">
        <w:rPr>
          <w:rFonts w:cs="Arial"/>
        </w:rPr>
        <w:t>,</w:t>
      </w:r>
      <w:r w:rsidR="004B6230">
        <w:rPr>
          <w:rFonts w:cs="Arial"/>
        </w:rPr>
        <w:br/>
      </w:r>
      <w:r w:rsidR="00767766" w:rsidRPr="0044593B">
        <w:rPr>
          <w:rFonts w:cs="Arial"/>
        </w:rPr>
        <w:t>CALIFORNIA CODE OF REGULATIONS, TITLE 24, PART</w:t>
      </w:r>
      <w:r w:rsidR="00C760F2">
        <w:rPr>
          <w:rFonts w:cs="Arial"/>
        </w:rPr>
        <w:t> 2.5</w:t>
      </w:r>
    </w:p>
    <w:p w14:paraId="28A8FEFB" w14:textId="5DAA3246" w:rsidR="00767766" w:rsidRPr="0044593B" w:rsidRDefault="00767766" w:rsidP="0092735E">
      <w:pPr>
        <w:pStyle w:val="Heading1"/>
        <w:spacing w:after="120"/>
        <w:jc w:val="center"/>
        <w:rPr>
          <w:rFonts w:cs="Arial"/>
          <w:szCs w:val="24"/>
        </w:rPr>
      </w:pPr>
      <w:r w:rsidRPr="0044593B">
        <w:rPr>
          <w:rFonts w:cs="Arial"/>
          <w:szCs w:val="24"/>
        </w:rPr>
        <w:t>(</w:t>
      </w:r>
      <w:r w:rsidR="00C760F2">
        <w:rPr>
          <w:rFonts w:cs="Arial"/>
          <w:szCs w:val="24"/>
        </w:rPr>
        <w:t>HCD 06/21)</w:t>
      </w:r>
    </w:p>
    <w:p w14:paraId="2CC5E725" w14:textId="7C5CD51B" w:rsidR="0017531B" w:rsidRPr="0044593B" w:rsidRDefault="00FB34BE" w:rsidP="00FB34BE">
      <w:pPr>
        <w:spacing w:after="120"/>
        <w:rPr>
          <w:rFonts w:ascii="Arial" w:hAnsi="Arial" w:cs="Arial"/>
        </w:rPr>
      </w:pPr>
      <w:r w:rsidRPr="0044593B">
        <w:rPr>
          <w:rFonts w:ascii="Arial" w:hAnsi="Arial" w:cs="Arial"/>
        </w:rPr>
        <w:t xml:space="preserve">No state agency may adopt, amend, or repeal a regulation which has been changed from that which was originally made available to the public pursuant to Section 11346.5, unless the change is (1) </w:t>
      </w:r>
      <w:proofErr w:type="spellStart"/>
      <w:r w:rsidRPr="0044593B">
        <w:rPr>
          <w:rFonts w:ascii="Arial" w:hAnsi="Arial" w:cs="Arial"/>
        </w:rPr>
        <w:t>nonsubstantial</w:t>
      </w:r>
      <w:proofErr w:type="spellEnd"/>
      <w:r w:rsidRPr="0044593B">
        <w:rPr>
          <w:rFonts w:ascii="Arial" w:hAnsi="Arial" w:cs="Arial"/>
        </w:rPr>
        <w:t xml:space="preserve">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ascii="Arial" w:hAnsi="Arial" w:cs="Arial"/>
        </w:rPr>
        <w:t xml:space="preserve"> or 45</w:t>
      </w:r>
      <w:r w:rsidRPr="0044593B">
        <w:rPr>
          <w:rFonts w:ascii="Arial" w:hAnsi="Arial" w:cs="Arial"/>
        </w:rPr>
        <w:t xml:space="preserve"> days before the agency adopts, amends, or repeals the resulting regulation.</w:t>
      </w:r>
    </w:p>
    <w:p w14:paraId="1D0B4194" w14:textId="10613FFF" w:rsidR="00FB34BE" w:rsidRPr="0044593B" w:rsidRDefault="00FB34BE" w:rsidP="00FB34BE">
      <w:pPr>
        <w:spacing w:after="120"/>
        <w:rPr>
          <w:rFonts w:ascii="Arial" w:hAnsi="Arial" w:cs="Arial"/>
        </w:rPr>
      </w:pPr>
      <w:r w:rsidRPr="0044593B">
        <w:rPr>
          <w:rFonts w:ascii="Arial" w:hAnsi="Arial"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ascii="Arial" w:hAnsi="Arial" w:cs="Arial"/>
          <w:szCs w:val="24"/>
        </w:rPr>
      </w:pPr>
      <w:r w:rsidRPr="0044593B">
        <w:rPr>
          <w:rFonts w:ascii="Arial" w:hAnsi="Arial" w:cs="Arial"/>
          <w:szCs w:val="24"/>
        </w:rPr>
        <w:t>If using assistive technology, please adjust your settings to recognize underline, strikeout</w:t>
      </w:r>
      <w:r w:rsidR="008A63C7">
        <w:rPr>
          <w:rFonts w:ascii="Arial" w:hAnsi="Arial" w:cs="Arial"/>
          <w:szCs w:val="24"/>
        </w:rPr>
        <w:t>, double strikeout</w:t>
      </w:r>
      <w:r w:rsidRPr="0044593B">
        <w:rPr>
          <w:rFonts w:ascii="Arial" w:hAnsi="Arial" w:cs="Arial"/>
          <w:szCs w:val="24"/>
        </w:rPr>
        <w:t>, italics and ellipsis.</w:t>
      </w:r>
      <w:r w:rsidR="003324BE" w:rsidRPr="0044593B">
        <w:rPr>
          <w:rFonts w:ascii="Arial" w:hAnsi="Arial"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786248">
      <w:pPr>
        <w:pStyle w:val="Heading2"/>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ascii="Arial" w:hAnsi="Arial" w:cs="Arial"/>
        </w:rPr>
      </w:pPr>
      <w:bookmarkStart w:id="0" w:name="_Hlk51751202"/>
      <w:r w:rsidRPr="0044593B">
        <w:rPr>
          <w:rFonts w:ascii="Arial" w:hAnsi="Arial" w:cs="Arial"/>
        </w:rPr>
        <w:t>Model Code language appears upright</w:t>
      </w:r>
      <w:r w:rsidR="00B53C67" w:rsidRPr="0044593B">
        <w:rPr>
          <w:rFonts w:ascii="Arial" w:hAnsi="Arial" w:cs="Arial"/>
        </w:rPr>
        <w:t>.</w:t>
      </w:r>
    </w:p>
    <w:p w14:paraId="52AB6E65" w14:textId="395D7A77" w:rsidR="00CF2161" w:rsidRPr="0044593B" w:rsidRDefault="00CF2161" w:rsidP="00CF2161">
      <w:pPr>
        <w:pStyle w:val="ListParagraph"/>
        <w:numPr>
          <w:ilvl w:val="0"/>
          <w:numId w:val="5"/>
        </w:numPr>
        <w:rPr>
          <w:rFonts w:ascii="Arial" w:hAnsi="Arial" w:cs="Arial"/>
          <w:iCs/>
        </w:rPr>
      </w:pPr>
      <w:r w:rsidRPr="0044593B">
        <w:rPr>
          <w:rFonts w:ascii="Arial" w:hAnsi="Arial" w:cs="Arial"/>
        </w:rPr>
        <w:t xml:space="preserve">Unmodified California 45-day amendments appear in </w:t>
      </w:r>
      <w:r w:rsidRPr="008A63C7">
        <w:rPr>
          <w:rFonts w:ascii="Arial" w:hAnsi="Arial" w:cs="Arial"/>
          <w:i/>
          <w:u w:val="single"/>
        </w:rPr>
        <w:t xml:space="preserve">underline </w:t>
      </w:r>
      <w:r w:rsidR="00B53C67" w:rsidRPr="008A63C7">
        <w:rPr>
          <w:rFonts w:ascii="Arial" w:hAnsi="Arial" w:cs="Arial"/>
          <w:i/>
          <w:u w:val="single"/>
        </w:rPr>
        <w:t>and</w:t>
      </w:r>
      <w:r w:rsidRPr="008A63C7">
        <w:rPr>
          <w:rFonts w:ascii="Arial" w:hAnsi="Arial" w:cs="Arial"/>
          <w:i/>
          <w:u w:val="single"/>
        </w:rPr>
        <w:t xml:space="preserve"> italic</w:t>
      </w:r>
      <w:r w:rsidR="00B53C67" w:rsidRPr="0044593B">
        <w:rPr>
          <w:rFonts w:ascii="Arial" w:hAnsi="Arial" w:cs="Arial"/>
          <w:iCs/>
        </w:rPr>
        <w:t xml:space="preserve"> and </w:t>
      </w:r>
      <w:r w:rsidR="00B53C67" w:rsidRPr="008A63C7">
        <w:rPr>
          <w:rFonts w:ascii="Arial" w:hAnsi="Arial" w:cs="Arial"/>
          <w:i/>
          <w:strike/>
        </w:rPr>
        <w:t>strikeout and italic</w:t>
      </w:r>
      <w:r w:rsidR="00B53C67" w:rsidRPr="0044593B">
        <w:rPr>
          <w:rFonts w:ascii="Arial" w:hAnsi="Arial" w:cs="Arial"/>
          <w:i/>
        </w:rPr>
        <w:t>.</w:t>
      </w:r>
    </w:p>
    <w:p w14:paraId="15B6E9D7" w14:textId="536004B7" w:rsidR="00CF2161" w:rsidRPr="0044593B" w:rsidRDefault="00CF2161" w:rsidP="00CF2161">
      <w:pPr>
        <w:pStyle w:val="ListParagraph"/>
        <w:numPr>
          <w:ilvl w:val="0"/>
          <w:numId w:val="5"/>
        </w:numPr>
        <w:rPr>
          <w:rFonts w:ascii="Arial" w:hAnsi="Arial" w:cs="Arial"/>
          <w:i/>
          <w:u w:val="single"/>
        </w:rPr>
      </w:pPr>
      <w:r w:rsidRPr="0044593B">
        <w:rPr>
          <w:rFonts w:ascii="Arial" w:hAnsi="Arial" w:cs="Arial"/>
        </w:rPr>
        <w:t xml:space="preserve">California additional </w:t>
      </w:r>
      <w:r w:rsidR="00C760F2">
        <w:rPr>
          <w:rFonts w:ascii="Arial" w:hAnsi="Arial" w:cs="Arial"/>
        </w:rPr>
        <w:t>15</w:t>
      </w:r>
      <w:r w:rsidRPr="0044593B">
        <w:rPr>
          <w:rFonts w:ascii="Arial" w:hAnsi="Arial" w:cs="Arial"/>
        </w:rPr>
        <w:t xml:space="preserve">-day amendments appear in </w:t>
      </w:r>
      <w:r w:rsidRPr="008A63C7">
        <w:rPr>
          <w:rFonts w:ascii="Arial" w:hAnsi="Arial" w:cs="Arial"/>
          <w:i/>
          <w:iCs/>
          <w:u w:val="double"/>
        </w:rPr>
        <w:t>double underline and italic</w:t>
      </w:r>
      <w:r w:rsidRPr="0044593B">
        <w:rPr>
          <w:rFonts w:ascii="Arial" w:hAnsi="Arial" w:cs="Arial"/>
        </w:rPr>
        <w:t xml:space="preserve"> and </w:t>
      </w:r>
      <w:r w:rsidRPr="008A63C7">
        <w:rPr>
          <w:rFonts w:ascii="Arial" w:hAnsi="Arial" w:cs="Arial"/>
          <w:i/>
          <w:iCs/>
          <w:dstrike/>
        </w:rPr>
        <w:t>double strikeout and italic</w:t>
      </w:r>
      <w:r w:rsidRPr="0044593B">
        <w:rPr>
          <w:rFonts w:ascii="Arial" w:hAnsi="Arial" w:cs="Arial"/>
        </w:rPr>
        <w:t>.</w:t>
      </w:r>
    </w:p>
    <w:p w14:paraId="2535AC15" w14:textId="6DD9A469" w:rsidR="00CF2161" w:rsidRPr="0044593B" w:rsidRDefault="00B53C67" w:rsidP="00CF2161">
      <w:pPr>
        <w:pStyle w:val="ListParagraph"/>
        <w:numPr>
          <w:ilvl w:val="0"/>
          <w:numId w:val="5"/>
        </w:numPr>
        <w:rPr>
          <w:rFonts w:ascii="Arial" w:hAnsi="Arial" w:cs="Arial"/>
        </w:rPr>
      </w:pPr>
      <w:r w:rsidRPr="0044593B">
        <w:rPr>
          <w:rFonts w:ascii="Arial" w:hAnsi="Arial" w:cs="Arial"/>
        </w:rPr>
        <w:t xml:space="preserve">Ellipsis </w:t>
      </w:r>
      <w:r w:rsidRPr="0044593B">
        <w:rPr>
          <w:rFonts w:ascii="Arial" w:hAnsi="Arial" w:cs="Arial"/>
          <w:szCs w:val="24"/>
        </w:rPr>
        <w:t>(</w:t>
      </w:r>
      <w:r w:rsidRPr="0044593B">
        <w:rPr>
          <w:rFonts w:ascii="Arial" w:hAnsi="Arial" w:cs="Arial"/>
          <w:sz w:val="2"/>
          <w:szCs w:val="2"/>
        </w:rPr>
        <w:t xml:space="preserve"> </w:t>
      </w:r>
      <w:r w:rsidRPr="0044593B">
        <w:rPr>
          <w:rFonts w:ascii="Arial" w:eastAsia="Times New Roman" w:hAnsi="Arial" w:cs="Arial"/>
          <w:szCs w:val="24"/>
          <w:lang w:eastAsia="ko-KR"/>
        </w:rPr>
        <w:t>...)</w:t>
      </w:r>
      <w:r w:rsidRPr="0044593B">
        <w:rPr>
          <w:rFonts w:ascii="Arial" w:eastAsia="Times New Roman" w:hAnsi="Arial"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ascii="Arial" w:hAnsi="Arial" w:cs="Arial"/>
        </w:rPr>
      </w:pPr>
      <w:r w:rsidRPr="0044593B">
        <w:rPr>
          <w:rFonts w:ascii="Arial" w:hAnsi="Arial" w:cs="Arial"/>
          <w:b/>
          <w:bCs/>
        </w:rPr>
        <w:t>Rationale</w:t>
      </w:r>
      <w:r w:rsidRPr="0044593B">
        <w:rPr>
          <w:rFonts w:ascii="Arial" w:hAnsi="Arial"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ascii="Arial" w:hAnsi="Arial" w:cs="Arial"/>
          <w:sz w:val="10"/>
          <w:szCs w:val="10"/>
        </w:rPr>
      </w:pPr>
    </w:p>
    <w:p w14:paraId="7D4E993D" w14:textId="604C2DDC" w:rsidR="00767766" w:rsidRPr="0044593B" w:rsidRDefault="00601EE7" w:rsidP="00EC0A76">
      <w:pPr>
        <w:pStyle w:val="Heading1"/>
        <w:spacing w:before="240" w:after="120"/>
        <w:rPr>
          <w:rFonts w:cs="Arial"/>
          <w:bCs/>
        </w:rPr>
      </w:pPr>
      <w:r>
        <w:rPr>
          <w:rFonts w:cs="Arial"/>
        </w:rPr>
        <w:t>15</w:t>
      </w:r>
      <w:r w:rsidR="00786248" w:rsidRPr="0044593B">
        <w:rPr>
          <w:rFonts w:cs="Arial"/>
        </w:rPr>
        <w:t xml:space="preserve">-DAY </w:t>
      </w:r>
      <w:r w:rsidR="00767766" w:rsidRPr="0044593B">
        <w:rPr>
          <w:rFonts w:cs="Arial"/>
        </w:rPr>
        <w:t>EXPRESS TERMS</w:t>
      </w:r>
    </w:p>
    <w:p w14:paraId="2F854EE3" w14:textId="0EDDDA7B" w:rsidR="000B33E0" w:rsidRPr="0044593B" w:rsidRDefault="000B33E0" w:rsidP="00391B17">
      <w:pPr>
        <w:pStyle w:val="Heading1"/>
        <w:spacing w:after="0"/>
        <w:rPr>
          <w:rFonts w:cs="Arial"/>
          <w:noProof/>
        </w:rPr>
      </w:pPr>
      <w:r w:rsidRPr="0044593B">
        <w:rPr>
          <w:rFonts w:cs="Arial"/>
        </w:rPr>
        <w:t xml:space="preserve">Item </w:t>
      </w:r>
      <w:r w:rsidR="006B4376">
        <w:rPr>
          <w:rFonts w:cs="Arial"/>
          <w:noProof/>
        </w:rPr>
        <w:t>4</w:t>
      </w:r>
      <w:r w:rsidR="00391B17" w:rsidRPr="0044593B">
        <w:rPr>
          <w:rFonts w:cs="Arial"/>
          <w:snapToGrid/>
        </w:rPr>
        <w:br/>
      </w:r>
      <w:r w:rsidRPr="0044593B">
        <w:rPr>
          <w:rFonts w:cs="Arial"/>
        </w:rPr>
        <w:t xml:space="preserve">Chapter </w:t>
      </w:r>
      <w:r w:rsidR="006B4376">
        <w:rPr>
          <w:rFonts w:cs="Arial"/>
        </w:rPr>
        <w:t xml:space="preserve">2, </w:t>
      </w:r>
      <w:r w:rsidRPr="0044593B">
        <w:rPr>
          <w:rFonts w:cs="Arial"/>
        </w:rPr>
        <w:t xml:space="preserve">Section </w:t>
      </w:r>
      <w:r w:rsidR="006B4376">
        <w:rPr>
          <w:rFonts w:cs="Arial"/>
        </w:rPr>
        <w:t>R202, Climate Zones and Live/Work Unit</w:t>
      </w:r>
    </w:p>
    <w:p w14:paraId="55740A16" w14:textId="3D9FEFCA" w:rsidR="006B4376" w:rsidRPr="00027C6D" w:rsidRDefault="000E0C61" w:rsidP="006B4376">
      <w:pPr>
        <w:widowControl/>
        <w:autoSpaceDE w:val="0"/>
        <w:autoSpaceDN w:val="0"/>
        <w:adjustRightInd w:val="0"/>
        <w:spacing w:before="120" w:after="120"/>
        <w:rPr>
          <w:rFonts w:ascii="Arial" w:eastAsiaTheme="majorEastAsia" w:hAnsi="Arial" w:cstheme="majorBidi"/>
          <w:b/>
          <w:dstrike/>
          <w:szCs w:val="24"/>
        </w:rPr>
      </w:pPr>
      <w:bookmarkStart w:id="1" w:name="_Hlk71541288"/>
      <w:bookmarkStart w:id="2" w:name="_Hlk54676310"/>
      <w:r>
        <w:rPr>
          <w:rFonts w:ascii="Arial" w:hAnsi="Arial" w:cs="Arial"/>
          <w:color w:val="000000"/>
          <w:shd w:val="clear" w:color="auto" w:fill="FFFFFF"/>
        </w:rPr>
        <w:t>(begin double strikeout)</w:t>
      </w:r>
      <w:r w:rsidR="008272DB">
        <w:rPr>
          <w:rFonts w:ascii="Arial" w:hAnsi="Arial" w:cs="Arial"/>
          <w:color w:val="000000"/>
          <w:shd w:val="clear" w:color="auto" w:fill="FFFFFF"/>
        </w:rPr>
        <w:t xml:space="preserve"> </w:t>
      </w:r>
      <w:r w:rsidR="006B4376" w:rsidRPr="00027C6D">
        <w:rPr>
          <w:rFonts w:ascii="Arial" w:eastAsia="Calibri" w:hAnsi="Arial" w:cs="Arial"/>
          <w:b/>
          <w:bCs/>
          <w:i/>
          <w:iCs/>
          <w:dstrike/>
          <w:snapToGrid/>
          <w:szCs w:val="24"/>
        </w:rPr>
        <w:t>CLIMATE ZONES</w:t>
      </w:r>
      <w:bookmarkEnd w:id="1"/>
      <w:r w:rsidR="006B4376" w:rsidRPr="00027C6D">
        <w:rPr>
          <w:rFonts w:ascii="Arial" w:eastAsia="Calibri" w:hAnsi="Arial" w:cs="Arial"/>
          <w:i/>
          <w:iCs/>
          <w:dstrike/>
          <w:snapToGrid/>
          <w:szCs w:val="24"/>
        </w:rPr>
        <w:t xml:space="preserve">. </w:t>
      </w:r>
      <w:r w:rsidR="006B4376" w:rsidRPr="00027C6D">
        <w:rPr>
          <w:rFonts w:ascii="Arial" w:hAnsi="Arial" w:cs="Arial"/>
          <w:i/>
          <w:iCs/>
          <w:dstrike/>
          <w:snapToGrid/>
          <w:szCs w:val="24"/>
        </w:rPr>
        <w:t>CLIMATE ZONES are the 16 geographic areas of California for which the California Energy Commission has established typical weather data, prescriptive packages and energy budgets. Climate zones are defined by ZIP code and listed in Reference Joint Appendix JA2.</w:t>
      </w:r>
    </w:p>
    <w:p w14:paraId="121112A5" w14:textId="4940C2AA" w:rsidR="006B4376" w:rsidRPr="006B4376" w:rsidRDefault="006B4376" w:rsidP="000E0C61">
      <w:pPr>
        <w:widowControl/>
        <w:autoSpaceDE w:val="0"/>
        <w:autoSpaceDN w:val="0"/>
        <w:adjustRightInd w:val="0"/>
        <w:spacing w:before="120" w:after="120"/>
        <w:rPr>
          <w:rFonts w:ascii="Arial" w:hAnsi="Arial" w:cs="Arial"/>
          <w:b/>
          <w:bCs/>
          <w:iCs/>
          <w:snapToGrid/>
          <w:szCs w:val="24"/>
        </w:rPr>
      </w:pPr>
      <w:r w:rsidRPr="00027C6D">
        <w:rPr>
          <w:rFonts w:ascii="Arial" w:eastAsia="Calibri" w:hAnsi="Arial" w:cs="Arial"/>
          <w:b/>
          <w:bCs/>
          <w:i/>
          <w:dstrike/>
          <w:snapToGrid/>
          <w:szCs w:val="24"/>
        </w:rPr>
        <w:t>LIVE/WORK UNIT.</w:t>
      </w:r>
      <w:r w:rsidRPr="00027C6D">
        <w:rPr>
          <w:rFonts w:ascii="Arial" w:eastAsia="Calibri" w:hAnsi="Arial" w:cs="Arial"/>
          <w:i/>
          <w:dstrike/>
          <w:snapToGrid/>
          <w:szCs w:val="24"/>
        </w:rPr>
        <w:t xml:space="preserve"> </w:t>
      </w:r>
      <w:bookmarkEnd w:id="2"/>
      <w:r w:rsidRPr="00027C6D">
        <w:rPr>
          <w:rFonts w:ascii="Arial" w:eastAsia="Calibri" w:hAnsi="Arial" w:cs="Arial"/>
          <w:i/>
          <w:dstrike/>
          <w:snapToGrid/>
          <w:szCs w:val="24"/>
        </w:rPr>
        <w:t xml:space="preserve">A </w:t>
      </w:r>
      <w:r w:rsidRPr="00027C6D">
        <w:rPr>
          <w:rFonts w:ascii="Arial" w:eastAsia="Calibri" w:hAnsi="Arial" w:cs="Arial"/>
          <w:i/>
          <w:iCs/>
          <w:dstrike/>
          <w:snapToGrid/>
          <w:szCs w:val="24"/>
        </w:rPr>
        <w:t xml:space="preserve">dwelling unit </w:t>
      </w:r>
      <w:r w:rsidRPr="00027C6D">
        <w:rPr>
          <w:rFonts w:ascii="Arial" w:eastAsia="Calibri" w:hAnsi="Arial" w:cs="Arial"/>
          <w:i/>
          <w:dstrike/>
          <w:snapToGrid/>
          <w:szCs w:val="24"/>
        </w:rPr>
        <w:t xml:space="preserve">or </w:t>
      </w:r>
      <w:r w:rsidRPr="00027C6D">
        <w:rPr>
          <w:rFonts w:ascii="Arial" w:eastAsia="Calibri" w:hAnsi="Arial" w:cs="Arial"/>
          <w:i/>
          <w:iCs/>
          <w:dstrike/>
          <w:snapToGrid/>
          <w:szCs w:val="24"/>
        </w:rPr>
        <w:t xml:space="preserve">sleeping unit </w:t>
      </w:r>
      <w:r w:rsidRPr="00027C6D">
        <w:rPr>
          <w:rFonts w:ascii="Arial" w:eastAsia="Calibri" w:hAnsi="Arial" w:cs="Arial"/>
          <w:i/>
          <w:dstrike/>
          <w:snapToGrid/>
          <w:szCs w:val="24"/>
        </w:rPr>
        <w:t>in which a significant portion of the space includes a nonresidential use that is operated by the tenant or building owner.</w:t>
      </w:r>
      <w:r w:rsidR="000E0C61" w:rsidRPr="000E0C61">
        <w:rPr>
          <w:rFonts w:ascii="Arial" w:hAnsi="Arial" w:cs="Arial"/>
          <w:color w:val="000000"/>
          <w:shd w:val="clear" w:color="auto" w:fill="FFFFFF"/>
        </w:rPr>
        <w:t xml:space="preserve"> </w:t>
      </w:r>
      <w:r w:rsidR="000E0C61">
        <w:rPr>
          <w:rFonts w:ascii="Arial" w:hAnsi="Arial" w:cs="Arial"/>
          <w:color w:val="000000"/>
          <w:shd w:val="clear" w:color="auto" w:fill="FFFFFF"/>
        </w:rPr>
        <w:t>(end double strikeout) </w:t>
      </w:r>
    </w:p>
    <w:p w14:paraId="11552BB8" w14:textId="6C8AD901" w:rsidR="006B4376" w:rsidRPr="00D473CC" w:rsidRDefault="002367DC" w:rsidP="003A619D">
      <w:pPr>
        <w:rPr>
          <w:snapToGrid/>
        </w:rPr>
      </w:pPr>
      <w:r w:rsidRPr="00D473CC">
        <w:rPr>
          <w:b/>
        </w:rPr>
        <w:lastRenderedPageBreak/>
        <w:t>Rationale:</w:t>
      </w:r>
      <w:r w:rsidR="002D5E4A" w:rsidRPr="00D473CC">
        <w:t xml:space="preserve"> </w:t>
      </w:r>
      <w:r w:rsidR="006B4376" w:rsidRPr="00D473CC">
        <w:rPr>
          <w:snapToGrid/>
        </w:rPr>
        <w:t>HCD proposes to repeal the above California amendment from Chapter 2 of the 2019 CRC. Although Item 4 was described as repealing identified text from the 2019 CRC, the text to be repealed was not shown in the strikeout format as noted in the legend. This version correctly displays the text in strikeout format. There is no regulatory change from the previous text in the 45-day Express Terms document.</w:t>
      </w:r>
    </w:p>
    <w:p w14:paraId="63A3FF48" w14:textId="33B9EF4A" w:rsidR="00767766" w:rsidRPr="0044593B" w:rsidRDefault="00767766" w:rsidP="0037506B">
      <w:pPr>
        <w:spacing w:before="240"/>
        <w:rPr>
          <w:rFonts w:ascii="Arial" w:hAnsi="Arial" w:cs="Arial"/>
        </w:rPr>
      </w:pPr>
      <w:r w:rsidRPr="006B4376">
        <w:rPr>
          <w:rFonts w:ascii="Arial" w:hAnsi="Arial" w:cs="Arial"/>
          <w:b/>
        </w:rPr>
        <w:t>Notation</w:t>
      </w:r>
      <w:r w:rsidRPr="0044593B">
        <w:rPr>
          <w:rFonts w:ascii="Arial" w:hAnsi="Arial" w:cs="Arial"/>
          <w:b/>
        </w:rPr>
        <w:t>:</w:t>
      </w:r>
    </w:p>
    <w:p w14:paraId="25855F16" w14:textId="16765D49" w:rsidR="00767766" w:rsidRPr="0044593B" w:rsidRDefault="00767766" w:rsidP="00767766">
      <w:pPr>
        <w:spacing w:before="120"/>
        <w:rPr>
          <w:rFonts w:ascii="Arial" w:hAnsi="Arial" w:cs="Arial"/>
        </w:rPr>
      </w:pPr>
      <w:r w:rsidRPr="0044593B">
        <w:rPr>
          <w:rFonts w:ascii="Arial" w:hAnsi="Arial" w:cs="Arial"/>
        </w:rPr>
        <w:t xml:space="preserve">Authority: </w:t>
      </w:r>
      <w:r w:rsidR="006B4376"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89D9CC5" w14:textId="6A088EC3" w:rsidR="00767766" w:rsidRPr="0044593B" w:rsidRDefault="00767766" w:rsidP="00767766">
      <w:pPr>
        <w:spacing w:before="120"/>
        <w:rPr>
          <w:rFonts w:ascii="Arial" w:hAnsi="Arial" w:cs="Arial"/>
          <w:noProof/>
        </w:rPr>
      </w:pPr>
      <w:r w:rsidRPr="0044593B">
        <w:rPr>
          <w:rFonts w:ascii="Arial" w:hAnsi="Arial" w:cs="Arial"/>
        </w:rPr>
        <w:t>Reference(s):</w:t>
      </w:r>
      <w:r w:rsidR="006B4376">
        <w:rPr>
          <w:rFonts w:ascii="Arial" w:hAnsi="Arial" w:cs="Arial"/>
        </w:rPr>
        <w:t xml:space="preserve"> </w:t>
      </w:r>
      <w:r w:rsidR="006B4376"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62E8F77" w14:textId="291CCA98" w:rsidR="006B4376" w:rsidRPr="00CE584B" w:rsidRDefault="006B4376" w:rsidP="006B4376">
      <w:pPr>
        <w:widowControl/>
        <w:pBdr>
          <w:bottom w:val="single" w:sz="24" w:space="1" w:color="auto"/>
        </w:pBdr>
        <w:spacing w:before="120"/>
        <w:rPr>
          <w:rFonts w:ascii="Arial" w:hAnsi="Arial" w:cs="Arial"/>
          <w:bCs/>
          <w:iCs/>
          <w:snapToGrid/>
          <w:szCs w:val="24"/>
        </w:rPr>
      </w:pPr>
    </w:p>
    <w:p w14:paraId="4789F811" w14:textId="78451B90" w:rsidR="00C760F2" w:rsidRPr="00C760F2" w:rsidRDefault="006B4376" w:rsidP="00BB41CC">
      <w:pPr>
        <w:pStyle w:val="Heading1"/>
        <w:spacing w:after="0"/>
      </w:pPr>
      <w:r w:rsidRPr="0044593B">
        <w:rPr>
          <w:rFonts w:cs="Arial"/>
        </w:rPr>
        <w:t xml:space="preserve">Item </w:t>
      </w:r>
      <w:r w:rsidR="008C22A3">
        <w:rPr>
          <w:rFonts w:cs="Arial"/>
          <w:noProof/>
        </w:rPr>
        <w:t>9</w:t>
      </w:r>
      <w:r w:rsidRPr="0044593B">
        <w:rPr>
          <w:rFonts w:cs="Arial"/>
          <w:snapToGrid/>
        </w:rPr>
        <w:br/>
      </w:r>
      <w:r w:rsidRPr="0044593B">
        <w:rPr>
          <w:rFonts w:cs="Arial"/>
        </w:rPr>
        <w:t xml:space="preserve">Chapter </w:t>
      </w:r>
      <w:r w:rsidR="008C22A3">
        <w:rPr>
          <w:rFonts w:cs="Arial"/>
        </w:rPr>
        <w:t>4 Foundations, Se</w:t>
      </w:r>
      <w:r w:rsidRPr="0044593B">
        <w:rPr>
          <w:rFonts w:cs="Arial"/>
        </w:rPr>
        <w:t>ction</w:t>
      </w:r>
      <w:r w:rsidR="008C22A3">
        <w:rPr>
          <w:rFonts w:cs="Arial"/>
        </w:rPr>
        <w:t> R408.3 Unvented crawl space.</w:t>
      </w:r>
    </w:p>
    <w:p w14:paraId="34BECDF1" w14:textId="3F3CDF6B" w:rsidR="008C22A3" w:rsidRPr="00CE584B" w:rsidRDefault="008C22A3" w:rsidP="008C22A3">
      <w:pPr>
        <w:widowControl/>
        <w:spacing w:before="120" w:after="120"/>
        <w:rPr>
          <w:rFonts w:ascii="Arial" w:eastAsia="Calibri" w:hAnsi="Arial" w:cs="Arial"/>
          <w:snapToGrid/>
          <w:szCs w:val="24"/>
        </w:rPr>
      </w:pPr>
      <w:r w:rsidRPr="00CE584B">
        <w:rPr>
          <w:rFonts w:ascii="Arial" w:eastAsia="Calibri" w:hAnsi="Arial" w:cs="Arial"/>
          <w:b/>
          <w:bCs/>
          <w:snapToGrid/>
          <w:szCs w:val="24"/>
        </w:rPr>
        <w:t>R408.3 Unvented crawl space.</w:t>
      </w:r>
      <w:r w:rsidRPr="00CE584B">
        <w:rPr>
          <w:rFonts w:ascii="Arial" w:eastAsia="Calibri" w:hAnsi="Arial" w:cs="Arial"/>
          <w:snapToGrid/>
          <w:szCs w:val="24"/>
        </w:rPr>
        <w:t xml:space="preserve"> For unvented under-floor spaces, the following items shall be provided: </w:t>
      </w:r>
    </w:p>
    <w:p w14:paraId="16EF6F7F" w14:textId="77777777" w:rsidR="008C22A3" w:rsidRPr="00AB718C" w:rsidRDefault="008C22A3" w:rsidP="008C22A3">
      <w:pPr>
        <w:pStyle w:val="ListParagraph"/>
        <w:widowControl/>
        <w:numPr>
          <w:ilvl w:val="0"/>
          <w:numId w:val="7"/>
        </w:numPr>
        <w:spacing w:before="120" w:after="120"/>
        <w:contextualSpacing w:val="0"/>
        <w:rPr>
          <w:rFonts w:ascii="Arial" w:eastAsia="Calibri" w:hAnsi="Arial" w:cs="Arial"/>
          <w:snapToGrid/>
          <w:szCs w:val="24"/>
        </w:rPr>
      </w:pPr>
      <w:r w:rsidRPr="00AB718C">
        <w:rPr>
          <w:rFonts w:ascii="Arial" w:eastAsia="Calibri" w:hAnsi="Arial" w:cs="Arial"/>
          <w:snapToGrid/>
          <w:szCs w:val="24"/>
        </w:rPr>
        <w:t xml:space="preserve">Exposed earth shall be covered with a continuous Class I vapor retarder. Joints of the vapor retarder shall overlap by 6 inches (152 mm) and shall be sealed or taped. The edges of the vapor retarder shall extend not less than 6 inches (152 mm) up the stem wall and shall be attached and sealed to the stem wall or insulation. </w:t>
      </w:r>
    </w:p>
    <w:p w14:paraId="7A95168D" w14:textId="77777777" w:rsidR="008C22A3" w:rsidRDefault="008C22A3" w:rsidP="008C22A3">
      <w:pPr>
        <w:pStyle w:val="ListParagraph"/>
        <w:widowControl/>
        <w:numPr>
          <w:ilvl w:val="0"/>
          <w:numId w:val="7"/>
        </w:numPr>
        <w:spacing w:before="120" w:after="120"/>
        <w:contextualSpacing w:val="0"/>
        <w:rPr>
          <w:rFonts w:ascii="Arial" w:eastAsia="Calibri" w:hAnsi="Arial" w:cs="Arial"/>
          <w:snapToGrid/>
          <w:szCs w:val="24"/>
        </w:rPr>
      </w:pPr>
      <w:r w:rsidRPr="00AB718C">
        <w:rPr>
          <w:rFonts w:ascii="Arial" w:eastAsia="Calibri" w:hAnsi="Arial" w:cs="Arial"/>
          <w:snapToGrid/>
          <w:szCs w:val="24"/>
        </w:rPr>
        <w:t xml:space="preserve">One of the following shall be provided for the under-floor space: </w:t>
      </w:r>
    </w:p>
    <w:p w14:paraId="448F2100" w14:textId="03AC90F3" w:rsidR="008C22A3" w:rsidRDefault="008C22A3" w:rsidP="008C22A3">
      <w:pPr>
        <w:pStyle w:val="ListParagraph"/>
        <w:widowControl/>
        <w:numPr>
          <w:ilvl w:val="1"/>
          <w:numId w:val="7"/>
        </w:numPr>
        <w:spacing w:before="120" w:after="120"/>
        <w:contextualSpacing w:val="0"/>
        <w:rPr>
          <w:rFonts w:ascii="Arial" w:eastAsia="Calibri" w:hAnsi="Arial" w:cs="Arial"/>
          <w:snapToGrid/>
          <w:szCs w:val="24"/>
        </w:rPr>
      </w:pPr>
      <w:r>
        <w:rPr>
          <w:rFonts w:ascii="Arial" w:eastAsia="Calibri" w:hAnsi="Arial" w:cs="Arial"/>
          <w:snapToGrid/>
          <w:szCs w:val="24"/>
        </w:rPr>
        <w:t>C</w:t>
      </w:r>
      <w:r w:rsidRPr="002E10B1">
        <w:rPr>
          <w:rFonts w:ascii="Arial" w:eastAsia="Calibri" w:hAnsi="Arial" w:cs="Arial"/>
          <w:snapToGrid/>
          <w:szCs w:val="24"/>
        </w:rPr>
        <w:t>ontinuously operated mechanical exhaust ventilation at a rate equal to 1 cubic foot per minute (0.47 L/s) for each 50 square feet (4.7 m2) of crawl space floor area, including an air pathway to the common area (such as a duct or transfer grille)</w:t>
      </w:r>
      <w:r w:rsidR="00D473CC" w:rsidRPr="00D473CC">
        <w:rPr>
          <w:rFonts w:ascii="Arial" w:hAnsi="Arial" w:cs="Arial"/>
          <w:color w:val="000000"/>
          <w:shd w:val="clear" w:color="auto" w:fill="FFFFFF"/>
        </w:rPr>
        <w:t xml:space="preserve"> </w:t>
      </w:r>
      <w:bookmarkStart w:id="3" w:name="_Hlk89337699"/>
      <w:r w:rsidR="00D473CC">
        <w:rPr>
          <w:rFonts w:ascii="Arial" w:hAnsi="Arial" w:cs="Arial"/>
          <w:color w:val="000000"/>
          <w:shd w:val="clear" w:color="auto" w:fill="FFFFFF"/>
        </w:rPr>
        <w:t>(begin double underline)</w:t>
      </w:r>
      <w:bookmarkEnd w:id="3"/>
      <w:r w:rsidRPr="00117C75">
        <w:rPr>
          <w:rFonts w:ascii="Arial" w:eastAsia="Calibri" w:hAnsi="Arial" w:cs="Arial"/>
          <w:strike/>
          <w:snapToGrid/>
          <w:szCs w:val="24"/>
          <w:u w:val="double"/>
        </w:rPr>
        <w:t>, and perimeter walls insulated in accordance with Section N1102.2.10.1 of this code</w:t>
      </w:r>
      <w:r w:rsidRPr="00117C75">
        <w:rPr>
          <w:rFonts w:ascii="Arial" w:eastAsia="Calibri" w:hAnsi="Arial" w:cs="Arial"/>
          <w:snapToGrid/>
          <w:szCs w:val="24"/>
          <w:u w:val="double"/>
        </w:rPr>
        <w:t>.</w:t>
      </w:r>
      <w:bookmarkStart w:id="4" w:name="_Hlk89337734"/>
      <w:r w:rsidR="008272DB" w:rsidRPr="008272DB">
        <w:rPr>
          <w:rFonts w:ascii="Arial" w:eastAsia="Calibri" w:hAnsi="Arial" w:cs="Arial"/>
          <w:snapToGrid/>
          <w:szCs w:val="24"/>
        </w:rPr>
        <w:t xml:space="preserve"> </w:t>
      </w:r>
      <w:r w:rsidR="00D473CC">
        <w:rPr>
          <w:rFonts w:ascii="Arial" w:hAnsi="Arial" w:cs="Arial"/>
          <w:color w:val="000000"/>
          <w:shd w:val="clear" w:color="auto" w:fill="FFFFFF"/>
        </w:rPr>
        <w:t>(end double underline)</w:t>
      </w:r>
      <w:r w:rsidRPr="00117C75">
        <w:rPr>
          <w:rFonts w:ascii="Arial" w:eastAsia="Calibri" w:hAnsi="Arial" w:cs="Arial"/>
          <w:snapToGrid/>
          <w:szCs w:val="24"/>
          <w:u w:val="double"/>
        </w:rPr>
        <w:t xml:space="preserve"> </w:t>
      </w:r>
      <w:bookmarkEnd w:id="4"/>
    </w:p>
    <w:p w14:paraId="41F1C78E" w14:textId="0E415DF2" w:rsidR="008C22A3" w:rsidRPr="002E10B1" w:rsidRDefault="008C22A3" w:rsidP="008C22A3">
      <w:pPr>
        <w:pStyle w:val="ListParagraph"/>
        <w:widowControl/>
        <w:numPr>
          <w:ilvl w:val="1"/>
          <w:numId w:val="7"/>
        </w:numPr>
        <w:spacing w:before="120" w:after="120"/>
        <w:contextualSpacing w:val="0"/>
        <w:rPr>
          <w:rFonts w:ascii="Arial" w:eastAsia="Calibri" w:hAnsi="Arial" w:cs="Arial"/>
          <w:snapToGrid/>
          <w:szCs w:val="24"/>
        </w:rPr>
      </w:pPr>
      <w:r w:rsidRPr="002E10B1">
        <w:rPr>
          <w:rFonts w:ascii="Arial" w:eastAsia="Calibri" w:hAnsi="Arial" w:cs="Arial"/>
          <w:snapToGrid/>
          <w:szCs w:val="24"/>
        </w:rPr>
        <w:t>Conditioned air supply sized to deliver at a rate equal to 1 cubic foot per minute (0.47 L/s) for each 50 square feet (4.7 m2) of under-floor area, including a return air pathway to the common area (such as a duct or transfer grille)</w:t>
      </w:r>
      <w:r w:rsidR="00D473CC" w:rsidRPr="00D473CC">
        <w:rPr>
          <w:rFonts w:ascii="Arial" w:hAnsi="Arial" w:cs="Arial"/>
          <w:color w:val="000000"/>
          <w:shd w:val="clear" w:color="auto" w:fill="FFFFFF"/>
        </w:rPr>
        <w:t xml:space="preserve"> </w:t>
      </w:r>
      <w:r w:rsidR="00D473CC">
        <w:rPr>
          <w:rFonts w:ascii="Arial" w:hAnsi="Arial" w:cs="Arial"/>
          <w:color w:val="000000"/>
          <w:shd w:val="clear" w:color="auto" w:fill="FFFFFF"/>
        </w:rPr>
        <w:t>(begin double underline)</w:t>
      </w:r>
      <w:r w:rsidRPr="00117C75">
        <w:rPr>
          <w:rFonts w:ascii="Arial" w:eastAsia="Calibri" w:hAnsi="Arial" w:cs="Arial"/>
          <w:strike/>
          <w:snapToGrid/>
          <w:szCs w:val="24"/>
          <w:u w:val="double"/>
        </w:rPr>
        <w:t>, and perimeter walls insulated in accordance with Section N1102.2.10.1 of this code</w:t>
      </w:r>
      <w:r w:rsidRPr="002E10B1">
        <w:rPr>
          <w:rFonts w:ascii="Arial" w:eastAsia="Calibri" w:hAnsi="Arial" w:cs="Arial"/>
          <w:snapToGrid/>
          <w:szCs w:val="24"/>
        </w:rPr>
        <w:t>.</w:t>
      </w:r>
      <w:r w:rsidR="008272DB">
        <w:rPr>
          <w:rFonts w:ascii="Arial" w:eastAsia="Calibri" w:hAnsi="Arial" w:cs="Arial"/>
          <w:snapToGrid/>
          <w:szCs w:val="24"/>
        </w:rPr>
        <w:t xml:space="preserve"> </w:t>
      </w:r>
      <w:r w:rsidR="00D473CC">
        <w:rPr>
          <w:rFonts w:ascii="Arial" w:hAnsi="Arial" w:cs="Arial"/>
          <w:color w:val="000000"/>
          <w:shd w:val="clear" w:color="auto" w:fill="FFFFFF"/>
        </w:rPr>
        <w:t>(end double underline)</w:t>
      </w:r>
      <w:r w:rsidR="000E0C61" w:rsidRPr="000E0C61">
        <w:rPr>
          <w:rFonts w:ascii="Arial" w:hAnsi="Arial" w:cs="Arial"/>
          <w:color w:val="000000"/>
          <w:shd w:val="clear" w:color="auto" w:fill="FFFFFF"/>
        </w:rPr>
        <w:t xml:space="preserve"> </w:t>
      </w:r>
      <w:r w:rsidR="000E0C61">
        <w:rPr>
          <w:rFonts w:ascii="Arial" w:hAnsi="Arial" w:cs="Arial"/>
          <w:color w:val="000000"/>
          <w:shd w:val="clear" w:color="auto" w:fill="FFFFFF"/>
        </w:rPr>
        <w:t>(begin double strikeout)</w:t>
      </w:r>
      <w:r w:rsidRPr="00117C75">
        <w:rPr>
          <w:rFonts w:ascii="Arial" w:eastAsia="Calibri" w:hAnsi="Arial" w:cs="Arial"/>
          <w:i/>
          <w:iCs/>
          <w:dstrike/>
          <w:snapToGrid/>
          <w:szCs w:val="24"/>
        </w:rPr>
        <w:t>Crawl space perimeter walls shall be insulated in accordance with the minimum insulation requirements established in the California Energy Code. Crawl space insulation shall be permanently fastened to the wall and extend downward from the floor to the finished grade level and then vertically and/or horizontally for at least an additional 24 inches (610 mm).</w:t>
      </w:r>
      <w:r w:rsidR="000E0C61" w:rsidRPr="000E0C61">
        <w:rPr>
          <w:rFonts w:ascii="Arial" w:hAnsi="Arial" w:cs="Arial"/>
          <w:color w:val="000000"/>
          <w:shd w:val="clear" w:color="auto" w:fill="FFFFFF"/>
        </w:rPr>
        <w:t xml:space="preserve"> </w:t>
      </w:r>
      <w:r w:rsidR="000E0C61">
        <w:rPr>
          <w:rFonts w:ascii="Arial" w:hAnsi="Arial" w:cs="Arial"/>
          <w:color w:val="000000"/>
          <w:shd w:val="clear" w:color="auto" w:fill="FFFFFF"/>
        </w:rPr>
        <w:t>(end double strikeout) </w:t>
      </w:r>
    </w:p>
    <w:p w14:paraId="73816228" w14:textId="77777777" w:rsidR="008C22A3" w:rsidRDefault="008C22A3" w:rsidP="008C22A3">
      <w:pPr>
        <w:pStyle w:val="ListParagraph"/>
        <w:widowControl/>
        <w:numPr>
          <w:ilvl w:val="1"/>
          <w:numId w:val="7"/>
        </w:numPr>
        <w:spacing w:before="120" w:after="120"/>
        <w:contextualSpacing w:val="0"/>
        <w:rPr>
          <w:rFonts w:ascii="Arial" w:eastAsia="Calibri" w:hAnsi="Arial" w:cs="Arial"/>
          <w:snapToGrid/>
          <w:szCs w:val="24"/>
        </w:rPr>
      </w:pPr>
      <w:r w:rsidRPr="002E10B1">
        <w:rPr>
          <w:rFonts w:ascii="Arial" w:eastAsia="Calibri" w:hAnsi="Arial" w:cs="Arial"/>
          <w:snapToGrid/>
          <w:szCs w:val="24"/>
        </w:rPr>
        <w:t xml:space="preserve">Plenum in existing structures complying with </w:t>
      </w:r>
      <w:r w:rsidRPr="002E10B1">
        <w:rPr>
          <w:rFonts w:ascii="Arial" w:eastAsia="Calibri" w:hAnsi="Arial" w:cs="Arial"/>
          <w:strike/>
          <w:snapToGrid/>
          <w:szCs w:val="24"/>
        </w:rPr>
        <w:t>Section M1601.5</w:t>
      </w:r>
      <w:r w:rsidRPr="002E10B1">
        <w:rPr>
          <w:rFonts w:ascii="Arial" w:eastAsia="Calibri" w:hAnsi="Arial" w:cs="Arial"/>
          <w:snapToGrid/>
          <w:szCs w:val="24"/>
        </w:rPr>
        <w:t xml:space="preserve"> </w:t>
      </w:r>
      <w:r w:rsidRPr="002E10B1">
        <w:rPr>
          <w:rFonts w:ascii="Arial" w:eastAsia="Calibri" w:hAnsi="Arial" w:cs="Arial"/>
          <w:i/>
          <w:iCs/>
          <w:snapToGrid/>
          <w:szCs w:val="24"/>
        </w:rPr>
        <w:t>the California Mechanical Code</w:t>
      </w:r>
      <w:r w:rsidRPr="002E10B1">
        <w:rPr>
          <w:rFonts w:ascii="Arial" w:eastAsia="Calibri" w:hAnsi="Arial" w:cs="Arial"/>
          <w:snapToGrid/>
          <w:szCs w:val="24"/>
        </w:rPr>
        <w:t>, if under-floor space is used as a plenum.</w:t>
      </w:r>
    </w:p>
    <w:p w14:paraId="459F94FD" w14:textId="77777777" w:rsidR="008C22A3" w:rsidRPr="002E10B1" w:rsidRDefault="008C22A3" w:rsidP="008C22A3">
      <w:pPr>
        <w:pStyle w:val="ListParagraph"/>
        <w:widowControl/>
        <w:numPr>
          <w:ilvl w:val="1"/>
          <w:numId w:val="7"/>
        </w:numPr>
        <w:spacing w:before="120" w:after="120"/>
        <w:contextualSpacing w:val="0"/>
        <w:rPr>
          <w:rFonts w:ascii="Arial" w:eastAsia="Calibri" w:hAnsi="Arial" w:cs="Arial"/>
          <w:snapToGrid/>
          <w:szCs w:val="24"/>
        </w:rPr>
      </w:pPr>
      <w:r w:rsidRPr="002E10B1">
        <w:rPr>
          <w:rFonts w:ascii="Arial" w:eastAsia="Calibri" w:hAnsi="Arial" w:cs="Arial"/>
          <w:snapToGrid/>
          <w:szCs w:val="24"/>
        </w:rPr>
        <w:lastRenderedPageBreak/>
        <w:t xml:space="preserve">Dehumidification sized accordance with manufacturer’s specifications. (No change to existing </w:t>
      </w:r>
      <w:r w:rsidRPr="002E10B1">
        <w:rPr>
          <w:rFonts w:ascii="Arial" w:eastAsia="Calibri" w:hAnsi="Arial" w:cs="Arial"/>
          <w:iCs/>
          <w:snapToGrid/>
          <w:szCs w:val="24"/>
        </w:rPr>
        <w:t>California</w:t>
      </w:r>
      <w:r w:rsidRPr="002E10B1">
        <w:rPr>
          <w:rFonts w:ascii="Arial" w:eastAsia="Calibri" w:hAnsi="Arial" w:cs="Arial"/>
          <w:i/>
          <w:snapToGrid/>
          <w:szCs w:val="24"/>
        </w:rPr>
        <w:t xml:space="preserve"> </w:t>
      </w:r>
      <w:r w:rsidRPr="002E10B1">
        <w:rPr>
          <w:rFonts w:ascii="Arial" w:eastAsia="Calibri" w:hAnsi="Arial" w:cs="Arial"/>
          <w:snapToGrid/>
          <w:szCs w:val="24"/>
        </w:rPr>
        <w:t>amendment to 2.3).</w:t>
      </w:r>
    </w:p>
    <w:p w14:paraId="7B75E3EF" w14:textId="0FC0F35E" w:rsidR="008C22A3" w:rsidRPr="00D473CC" w:rsidRDefault="006B4376" w:rsidP="003A619D">
      <w:pPr>
        <w:rPr>
          <w:snapToGrid/>
        </w:rPr>
      </w:pPr>
      <w:r w:rsidRPr="00D473CC">
        <w:rPr>
          <w:b/>
        </w:rPr>
        <w:t>Rationale:</w:t>
      </w:r>
      <w:r w:rsidRPr="00D473CC">
        <w:t xml:space="preserve"> </w:t>
      </w:r>
      <w:r w:rsidR="008C22A3" w:rsidRPr="00D473CC">
        <w:rPr>
          <w:snapToGrid/>
        </w:rPr>
        <w:t>HCD proposes to repeal the above California amendment</w:t>
      </w:r>
      <w:r w:rsidR="00BB41CC" w:rsidRPr="00D473CC">
        <w:rPr>
          <w:snapToGrid/>
        </w:rPr>
        <w:t>s</w:t>
      </w:r>
      <w:r w:rsidR="008C22A3" w:rsidRPr="00D473CC">
        <w:rPr>
          <w:snapToGrid/>
        </w:rPr>
        <w:t xml:space="preserve"> from Chapter 4 of the 2019 CRC. Although Item 9 was described as repealing identified text from the 2019 CRC, the text to be repealed was not shown in the strikeout format as noted in the legend. This version correctly displays the text in strikeout format. There is no regulatory change from the previous text in the 45-day Express Terms document.</w:t>
      </w:r>
    </w:p>
    <w:p w14:paraId="4359837E" w14:textId="77777777" w:rsidR="006B4376" w:rsidRPr="0044593B" w:rsidRDefault="006B4376" w:rsidP="006B4376">
      <w:pPr>
        <w:spacing w:before="240"/>
        <w:rPr>
          <w:rFonts w:ascii="Arial" w:hAnsi="Arial" w:cs="Arial"/>
        </w:rPr>
      </w:pPr>
      <w:r w:rsidRPr="0044593B">
        <w:rPr>
          <w:rFonts w:ascii="Arial" w:hAnsi="Arial" w:cs="Arial"/>
          <w:b/>
        </w:rPr>
        <w:t>Notation:</w:t>
      </w:r>
    </w:p>
    <w:p w14:paraId="5C1642F3" w14:textId="1297BA31" w:rsidR="006B4376" w:rsidRPr="0044593B" w:rsidRDefault="006B4376" w:rsidP="006B4376">
      <w:pPr>
        <w:spacing w:before="120"/>
        <w:rPr>
          <w:rFonts w:ascii="Arial" w:hAnsi="Arial" w:cs="Arial"/>
        </w:rPr>
      </w:pPr>
      <w:r w:rsidRPr="0044593B">
        <w:rPr>
          <w:rFonts w:ascii="Arial" w:hAnsi="Arial" w:cs="Arial"/>
        </w:rPr>
        <w:t xml:space="preserve">Authority: </w:t>
      </w:r>
      <w:r w:rsidR="008C22A3"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D135DBC" w14:textId="3610BF80" w:rsidR="006B4376" w:rsidRPr="0044593B" w:rsidRDefault="006B4376" w:rsidP="006B4376">
      <w:pPr>
        <w:spacing w:before="120"/>
        <w:rPr>
          <w:rFonts w:ascii="Arial" w:hAnsi="Arial" w:cs="Arial"/>
          <w:noProof/>
        </w:rPr>
      </w:pPr>
      <w:r w:rsidRPr="0044593B">
        <w:rPr>
          <w:rFonts w:ascii="Arial" w:hAnsi="Arial" w:cs="Arial"/>
        </w:rPr>
        <w:t xml:space="preserve">Reference(s): </w:t>
      </w:r>
      <w:r w:rsidR="008C22A3"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8F251FE" w14:textId="60023175" w:rsidR="006B4376" w:rsidRPr="00CE584B" w:rsidRDefault="006B4376" w:rsidP="006B4376">
      <w:pPr>
        <w:widowControl/>
        <w:pBdr>
          <w:bottom w:val="single" w:sz="24" w:space="1" w:color="auto"/>
        </w:pBdr>
        <w:spacing w:before="120"/>
        <w:rPr>
          <w:rFonts w:ascii="Arial" w:hAnsi="Arial" w:cs="Arial"/>
          <w:bCs/>
          <w:iCs/>
          <w:snapToGrid/>
          <w:szCs w:val="24"/>
        </w:rPr>
      </w:pPr>
    </w:p>
    <w:p w14:paraId="5C9EDDE5" w14:textId="7526227D" w:rsidR="00C760F2" w:rsidRDefault="008C22A3" w:rsidP="00BB41CC">
      <w:pPr>
        <w:pStyle w:val="Heading1"/>
        <w:spacing w:after="0"/>
        <w:rPr>
          <w:rFonts w:cs="Arial"/>
        </w:rPr>
      </w:pPr>
      <w:r w:rsidRPr="0044593B">
        <w:rPr>
          <w:rFonts w:cs="Arial"/>
        </w:rPr>
        <w:t xml:space="preserve">Item </w:t>
      </w:r>
      <w:r>
        <w:rPr>
          <w:rFonts w:cs="Arial"/>
          <w:noProof/>
        </w:rPr>
        <w:t>12</w:t>
      </w:r>
      <w:r w:rsidRPr="0044593B">
        <w:rPr>
          <w:rFonts w:cs="Arial"/>
          <w:snapToGrid/>
        </w:rPr>
        <w:br/>
      </w:r>
      <w:r w:rsidRPr="0044593B">
        <w:rPr>
          <w:rFonts w:cs="Arial"/>
        </w:rPr>
        <w:t>Chapter</w:t>
      </w:r>
      <w:r>
        <w:rPr>
          <w:rFonts w:cs="Arial"/>
        </w:rPr>
        <w:t> 7 Wall Covering,</w:t>
      </w:r>
      <w:r w:rsidR="00C760F2">
        <w:rPr>
          <w:rFonts w:cs="Arial"/>
          <w:noProof/>
        </w:rPr>
        <w:tab/>
      </w:r>
      <w:r w:rsidR="00BB41CC">
        <w:rPr>
          <w:rFonts w:cs="Arial"/>
        </w:rPr>
        <w:t>S</w:t>
      </w:r>
      <w:r w:rsidRPr="0044593B">
        <w:rPr>
          <w:rFonts w:cs="Arial"/>
        </w:rPr>
        <w:t>ection</w:t>
      </w:r>
      <w:r>
        <w:rPr>
          <w:rFonts w:cs="Arial"/>
        </w:rPr>
        <w:t xml:space="preserve"> R702.7 Vapor </w:t>
      </w:r>
      <w:r w:rsidR="00BB41CC">
        <w:rPr>
          <w:rFonts w:cs="Arial"/>
        </w:rPr>
        <w:t>r</w:t>
      </w:r>
      <w:r>
        <w:rPr>
          <w:rFonts w:cs="Arial"/>
        </w:rPr>
        <w:t>etarders</w:t>
      </w:r>
      <w:r w:rsidR="00BB41CC">
        <w:rPr>
          <w:rFonts w:cs="Arial"/>
        </w:rPr>
        <w:t>.</w:t>
      </w:r>
    </w:p>
    <w:p w14:paraId="24940179" w14:textId="76606EAB" w:rsidR="00BB41CC" w:rsidRPr="00AC1897" w:rsidRDefault="00BB41CC" w:rsidP="00F86E02">
      <w:pPr>
        <w:ind w:left="2880"/>
        <w:rPr>
          <w:rFonts w:ascii="Arial" w:hAnsi="Arial" w:cs="Arial"/>
          <w:b/>
          <w:snapToGrid/>
          <w:szCs w:val="24"/>
        </w:rPr>
      </w:pPr>
      <w:r>
        <w:rPr>
          <w:rFonts w:ascii="Arial" w:hAnsi="Arial" w:cs="Arial"/>
          <w:b/>
          <w:snapToGrid/>
          <w:szCs w:val="24"/>
        </w:rPr>
        <w:t>Section </w:t>
      </w:r>
      <w:r w:rsidRPr="00CE584B">
        <w:rPr>
          <w:rFonts w:ascii="Arial" w:hAnsi="Arial" w:cs="Arial"/>
          <w:b/>
          <w:snapToGrid/>
          <w:szCs w:val="24"/>
        </w:rPr>
        <w:t xml:space="preserve">R702.7.1 </w:t>
      </w:r>
      <w:r w:rsidR="00CF6C6F" w:rsidRPr="00CF6C6F">
        <w:rPr>
          <w:rFonts w:ascii="Arial" w:hAnsi="Arial" w:cs="Arial"/>
          <w:b/>
          <w:snapToGrid/>
          <w:szCs w:val="24"/>
        </w:rPr>
        <w:t>Spray foam plastic insulation for moisture</w:t>
      </w:r>
      <w:r w:rsidR="00AC1897">
        <w:rPr>
          <w:rFonts w:ascii="Arial" w:hAnsi="Arial" w:cs="Arial"/>
          <w:b/>
          <w:snapToGrid/>
          <w:szCs w:val="24"/>
        </w:rPr>
        <w:t xml:space="preserve"> </w:t>
      </w:r>
      <w:r w:rsidR="00CF6C6F" w:rsidRPr="00CF6C6F">
        <w:rPr>
          <w:rFonts w:ascii="Arial" w:hAnsi="Arial" w:cs="Arial"/>
          <w:b/>
          <w:snapToGrid/>
          <w:szCs w:val="24"/>
        </w:rPr>
        <w:t>control with Class II and III vapor retarders</w:t>
      </w:r>
      <w:r w:rsidR="00CF6C6F">
        <w:rPr>
          <w:rFonts w:ascii="Arial" w:hAnsi="Arial" w:cs="Arial"/>
          <w:b/>
          <w:snapToGrid/>
          <w:szCs w:val="24"/>
        </w:rPr>
        <w:t xml:space="preserve"> (former </w:t>
      </w:r>
      <w:r w:rsidRPr="00CE584B">
        <w:rPr>
          <w:rFonts w:ascii="Arial" w:eastAsia="Calibri" w:hAnsi="Arial" w:cs="Arial"/>
          <w:b/>
          <w:bCs/>
          <w:snapToGrid/>
          <w:szCs w:val="24"/>
        </w:rPr>
        <w:t xml:space="preserve">Class III </w:t>
      </w:r>
      <w:r>
        <w:rPr>
          <w:rFonts w:ascii="Arial" w:eastAsia="Calibri" w:hAnsi="Arial" w:cs="Arial"/>
          <w:b/>
          <w:bCs/>
          <w:snapToGrid/>
          <w:szCs w:val="24"/>
        </w:rPr>
        <w:t>v</w:t>
      </w:r>
      <w:r w:rsidRPr="00CE584B">
        <w:rPr>
          <w:rFonts w:ascii="Arial" w:eastAsia="Calibri" w:hAnsi="Arial" w:cs="Arial"/>
          <w:b/>
          <w:bCs/>
          <w:snapToGrid/>
          <w:szCs w:val="24"/>
        </w:rPr>
        <w:t xml:space="preserve">apor </w:t>
      </w:r>
      <w:r>
        <w:rPr>
          <w:rFonts w:ascii="Arial" w:eastAsia="Calibri" w:hAnsi="Arial" w:cs="Arial"/>
          <w:b/>
          <w:bCs/>
          <w:snapToGrid/>
          <w:szCs w:val="24"/>
        </w:rPr>
        <w:t>r</w:t>
      </w:r>
      <w:r w:rsidRPr="00CE584B">
        <w:rPr>
          <w:rFonts w:ascii="Arial" w:eastAsia="Calibri" w:hAnsi="Arial" w:cs="Arial"/>
          <w:b/>
          <w:bCs/>
          <w:snapToGrid/>
          <w:szCs w:val="24"/>
        </w:rPr>
        <w:t>etarders</w:t>
      </w:r>
      <w:r w:rsidR="00CF6C6F">
        <w:rPr>
          <w:rFonts w:ascii="Arial" w:eastAsia="Calibri" w:hAnsi="Arial" w:cs="Arial"/>
          <w:b/>
          <w:bCs/>
          <w:snapToGrid/>
          <w:szCs w:val="24"/>
        </w:rPr>
        <w:t>)</w:t>
      </w:r>
      <w:r>
        <w:rPr>
          <w:rFonts w:ascii="Arial" w:eastAsia="Calibri" w:hAnsi="Arial" w:cs="Arial"/>
          <w:b/>
          <w:bCs/>
          <w:snapToGrid/>
          <w:szCs w:val="24"/>
        </w:rPr>
        <w:t>.</w:t>
      </w:r>
    </w:p>
    <w:p w14:paraId="5DAD3B64" w14:textId="2166C0D6" w:rsidR="00CF6C6F" w:rsidRPr="00BB41CC" w:rsidRDefault="00CF6C6F" w:rsidP="00F86E02">
      <w:pPr>
        <w:ind w:left="2880"/>
      </w:pPr>
      <w:r>
        <w:rPr>
          <w:rFonts w:ascii="Arial" w:eastAsia="Calibri" w:hAnsi="Arial" w:cs="Arial"/>
          <w:b/>
          <w:bCs/>
          <w:snapToGrid/>
          <w:szCs w:val="24"/>
        </w:rPr>
        <w:t>Table R702.7(3) Class III Vapor Retarders</w:t>
      </w:r>
    </w:p>
    <w:p w14:paraId="52ADFCBA" w14:textId="299501D6" w:rsidR="008C22A3" w:rsidRPr="00CE584B" w:rsidRDefault="008C22A3" w:rsidP="008C22A3">
      <w:pPr>
        <w:widowControl/>
        <w:spacing w:before="120" w:after="120"/>
        <w:rPr>
          <w:rFonts w:ascii="Arial" w:eastAsia="Calibri" w:hAnsi="Arial" w:cs="Arial"/>
          <w:snapToGrid/>
          <w:szCs w:val="24"/>
        </w:rPr>
      </w:pPr>
      <w:r w:rsidRPr="00CE584B">
        <w:rPr>
          <w:rFonts w:ascii="Arial" w:hAnsi="Arial" w:cs="Arial"/>
          <w:b/>
          <w:snapToGrid/>
          <w:szCs w:val="24"/>
        </w:rPr>
        <w:t>R702.7 Vapor retarders.</w:t>
      </w:r>
      <w:r w:rsidRPr="00CE584B">
        <w:rPr>
          <w:rFonts w:ascii="Arial" w:hAnsi="Arial" w:cs="Arial"/>
          <w:snapToGrid/>
          <w:szCs w:val="24"/>
        </w:rPr>
        <w:t xml:space="preserve"> </w:t>
      </w:r>
      <w:r w:rsidRPr="00CE584B">
        <w:rPr>
          <w:rFonts w:ascii="Arial" w:eastAsia="Calibri" w:hAnsi="Arial" w:cs="Arial"/>
          <w:snapToGrid/>
          <w:szCs w:val="24"/>
        </w:rPr>
        <w:t xml:space="preserve">(2019 CRC) Class I or II vapor retarders are required on the interior side of frame walls in Climate Zones </w:t>
      </w:r>
      <w:r w:rsidR="000E0C61">
        <w:rPr>
          <w:rFonts w:ascii="Arial" w:hAnsi="Arial" w:cs="Arial"/>
          <w:color w:val="000000"/>
          <w:shd w:val="clear" w:color="auto" w:fill="FFFFFF"/>
        </w:rPr>
        <w:t>(begin double strikeout)</w:t>
      </w:r>
      <w:r w:rsidRPr="00117C75">
        <w:rPr>
          <w:rFonts w:ascii="Arial" w:eastAsia="Calibri" w:hAnsi="Arial" w:cs="Arial"/>
          <w:i/>
          <w:iCs/>
          <w:dstrike/>
          <w:snapToGrid/>
          <w:szCs w:val="24"/>
        </w:rPr>
        <w:t>14 and 16. See the California Energy Code, Figure 100.1-A —California Climate Zones.</w:t>
      </w:r>
      <w:r w:rsidRPr="00117C75">
        <w:rPr>
          <w:rFonts w:ascii="Arial" w:eastAsia="Calibri" w:hAnsi="Arial" w:cs="Arial"/>
          <w:dstrike/>
          <w:snapToGrid/>
          <w:szCs w:val="24"/>
        </w:rPr>
        <w:t xml:space="preserve"> </w:t>
      </w:r>
      <w:r w:rsidR="000E0C61">
        <w:rPr>
          <w:rFonts w:ascii="Arial" w:hAnsi="Arial" w:cs="Arial"/>
          <w:color w:val="000000"/>
          <w:shd w:val="clear" w:color="auto" w:fill="FFFFFF"/>
        </w:rPr>
        <w:t>(end double strikeout) </w:t>
      </w:r>
    </w:p>
    <w:p w14:paraId="77C54568" w14:textId="77777777" w:rsidR="008C22A3" w:rsidRPr="00CE584B" w:rsidRDefault="008C22A3" w:rsidP="00F86E02">
      <w:pPr>
        <w:widowControl/>
        <w:spacing w:after="12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66049ED0" w14:textId="769BDB96" w:rsidR="008C22A3" w:rsidRPr="00343F13" w:rsidRDefault="008C22A3" w:rsidP="00F86E02">
      <w:pPr>
        <w:pStyle w:val="ListParagraph"/>
        <w:widowControl/>
        <w:numPr>
          <w:ilvl w:val="0"/>
          <w:numId w:val="9"/>
        </w:numPr>
        <w:spacing w:after="120"/>
        <w:rPr>
          <w:rFonts w:ascii="Arial" w:eastAsia="Calibri" w:hAnsi="Arial" w:cs="Arial"/>
          <w:snapToGrid/>
          <w:szCs w:val="24"/>
        </w:rPr>
      </w:pPr>
      <w:r w:rsidRPr="00343F13">
        <w:rPr>
          <w:rFonts w:ascii="Arial" w:eastAsia="Calibri" w:hAnsi="Arial" w:cs="Arial"/>
          <w:snapToGrid/>
          <w:szCs w:val="24"/>
        </w:rPr>
        <w:t xml:space="preserve">Basement walls. </w:t>
      </w:r>
    </w:p>
    <w:p w14:paraId="5A4D9177" w14:textId="5AFCE0CE" w:rsidR="008C22A3" w:rsidRPr="00343F13" w:rsidRDefault="008C22A3" w:rsidP="00F86E02">
      <w:pPr>
        <w:pStyle w:val="ListParagraph"/>
        <w:widowControl/>
        <w:numPr>
          <w:ilvl w:val="0"/>
          <w:numId w:val="9"/>
        </w:numPr>
        <w:spacing w:after="120"/>
        <w:rPr>
          <w:rFonts w:ascii="Arial" w:eastAsia="Calibri" w:hAnsi="Arial" w:cs="Arial"/>
          <w:snapToGrid/>
          <w:szCs w:val="24"/>
        </w:rPr>
      </w:pPr>
      <w:r w:rsidRPr="00343F13">
        <w:rPr>
          <w:rFonts w:ascii="Arial" w:eastAsia="Calibri" w:hAnsi="Arial" w:cs="Arial"/>
          <w:snapToGrid/>
          <w:szCs w:val="24"/>
        </w:rPr>
        <w:t xml:space="preserve">Below-grade portion of any wall. </w:t>
      </w:r>
    </w:p>
    <w:p w14:paraId="6CD25E64" w14:textId="0226936A" w:rsidR="008C22A3" w:rsidRPr="00343F13" w:rsidRDefault="008C22A3" w:rsidP="00F86E02">
      <w:pPr>
        <w:pStyle w:val="ListParagraph"/>
        <w:widowControl/>
        <w:numPr>
          <w:ilvl w:val="0"/>
          <w:numId w:val="9"/>
        </w:numPr>
        <w:spacing w:after="120"/>
        <w:rPr>
          <w:rFonts w:ascii="Arial" w:eastAsia="Calibri" w:hAnsi="Arial" w:cs="Arial"/>
          <w:snapToGrid/>
          <w:szCs w:val="24"/>
        </w:rPr>
      </w:pPr>
      <w:r w:rsidRPr="00343F13">
        <w:rPr>
          <w:rFonts w:ascii="Arial" w:eastAsia="Calibri" w:hAnsi="Arial" w:cs="Arial"/>
          <w:snapToGrid/>
          <w:szCs w:val="24"/>
        </w:rPr>
        <w:t>Construction where moisture or its freezing will not damage the materials.</w:t>
      </w:r>
    </w:p>
    <w:p w14:paraId="5D7C0C33" w14:textId="3FD830AF" w:rsidR="008C22A3" w:rsidRPr="00117C75" w:rsidRDefault="008C22A3" w:rsidP="008C22A3">
      <w:pPr>
        <w:widowControl/>
        <w:spacing w:before="120" w:after="120"/>
        <w:rPr>
          <w:rFonts w:ascii="Arial" w:eastAsia="Calibri" w:hAnsi="Arial" w:cs="Arial"/>
          <w:i/>
          <w:iCs/>
          <w:dstrike/>
          <w:snapToGrid/>
          <w:szCs w:val="24"/>
        </w:rPr>
      </w:pPr>
      <w:r w:rsidRPr="00CE584B">
        <w:rPr>
          <w:rFonts w:ascii="Arial" w:hAnsi="Arial" w:cs="Arial"/>
          <w:b/>
          <w:snapToGrid/>
          <w:szCs w:val="24"/>
        </w:rPr>
        <w:t xml:space="preserve">R702.7.1 </w:t>
      </w:r>
      <w:r w:rsidR="00F86E02" w:rsidRPr="00CE584B">
        <w:rPr>
          <w:rFonts w:ascii="Arial" w:eastAsia="Calibri" w:hAnsi="Arial" w:cs="Arial"/>
          <w:snapToGrid/>
          <w:szCs w:val="24"/>
        </w:rPr>
        <w:t xml:space="preserve">(2019 CRC) </w:t>
      </w:r>
      <w:r w:rsidRPr="00CE584B">
        <w:rPr>
          <w:rFonts w:ascii="Arial" w:eastAsia="Calibri" w:hAnsi="Arial" w:cs="Arial"/>
          <w:b/>
          <w:bCs/>
          <w:snapToGrid/>
          <w:szCs w:val="24"/>
        </w:rPr>
        <w:t>Class III vapor retarders.</w:t>
      </w:r>
      <w:r w:rsidRPr="00CE584B">
        <w:rPr>
          <w:rFonts w:ascii="Arial" w:eastAsia="Calibri" w:hAnsi="Arial" w:cs="Arial"/>
          <w:snapToGrid/>
          <w:szCs w:val="24"/>
        </w:rPr>
        <w:t xml:space="preserve"> Class III vapor retarders shall be permitted where any one of </w:t>
      </w:r>
      <w:r w:rsidR="000E0C61">
        <w:rPr>
          <w:rFonts w:ascii="Arial" w:hAnsi="Arial" w:cs="Arial"/>
          <w:color w:val="000000"/>
          <w:shd w:val="clear" w:color="auto" w:fill="FFFFFF"/>
        </w:rPr>
        <w:t>(begin double strikeout)</w:t>
      </w:r>
      <w:r w:rsidR="00E602E4">
        <w:rPr>
          <w:rFonts w:ascii="Arial" w:hAnsi="Arial" w:cs="Arial"/>
          <w:color w:val="000000"/>
          <w:shd w:val="clear" w:color="auto" w:fill="FFFFFF"/>
        </w:rPr>
        <w:t xml:space="preserve"> </w:t>
      </w:r>
      <w:r w:rsidR="00F86E02" w:rsidRPr="00F86E02">
        <w:rPr>
          <w:rFonts w:ascii="Arial" w:eastAsia="Calibri" w:hAnsi="Arial" w:cs="Arial"/>
          <w:i/>
          <w:iCs/>
          <w:dstrike/>
          <w:snapToGrid/>
          <w:szCs w:val="24"/>
        </w:rPr>
        <w:t xml:space="preserve">the </w:t>
      </w:r>
      <w:r w:rsidRPr="00117C75">
        <w:rPr>
          <w:rFonts w:ascii="Arial" w:eastAsia="Calibri" w:hAnsi="Arial" w:cs="Arial"/>
          <w:i/>
          <w:iCs/>
          <w:dstrike/>
          <w:snapToGrid/>
          <w:szCs w:val="24"/>
        </w:rPr>
        <w:t xml:space="preserve">following materials are used. The material options include vented cladding over fiberboard, vented cladding over gypsum, or insulated sheathing with an R-value equal to or greater than R-4. If insulated sheathing is used the R-value shall be included as part of the compliance toward the California Energy Code. </w:t>
      </w:r>
    </w:p>
    <w:p w14:paraId="7AECF3B0" w14:textId="2BF50604" w:rsidR="008C22A3" w:rsidRDefault="008C22A3" w:rsidP="00F86E02">
      <w:pPr>
        <w:widowControl/>
        <w:spacing w:after="120"/>
        <w:rPr>
          <w:rFonts w:ascii="Arial" w:hAnsi="Arial" w:cs="Arial"/>
          <w:color w:val="000000"/>
          <w:shd w:val="clear" w:color="auto" w:fill="FFFFFF"/>
        </w:rPr>
      </w:pPr>
      <w:r w:rsidRPr="00117C75">
        <w:rPr>
          <w:rFonts w:ascii="Arial" w:eastAsia="Calibri" w:hAnsi="Arial" w:cs="Arial"/>
          <w:i/>
          <w:iCs/>
          <w:dstrike/>
          <w:snapToGrid/>
          <w:szCs w:val="24"/>
        </w:rPr>
        <w:t xml:space="preserve">Spray foam with a minimum density of 2 </w:t>
      </w:r>
      <w:proofErr w:type="spellStart"/>
      <w:r w:rsidRPr="00117C75">
        <w:rPr>
          <w:rFonts w:ascii="Arial" w:eastAsia="Calibri" w:hAnsi="Arial" w:cs="Arial"/>
          <w:i/>
          <w:iCs/>
          <w:dstrike/>
          <w:snapToGrid/>
          <w:szCs w:val="24"/>
        </w:rPr>
        <w:t>lb</w:t>
      </w:r>
      <w:proofErr w:type="spellEnd"/>
      <w:r w:rsidRPr="00117C75">
        <w:rPr>
          <w:rFonts w:ascii="Arial" w:eastAsia="Calibri" w:hAnsi="Arial" w:cs="Arial"/>
          <w:i/>
          <w:iCs/>
          <w:dstrike/>
          <w:snapToGrid/>
          <w:szCs w:val="24"/>
        </w:rPr>
        <w:t>/ft3 applied to the interior cavity side of OSB, plywood, fiberboard, insulated sheathing or gypsum is deemed to meet the insulated sheathing requirement where the spray foam R-value meets or exceeds the specified insulated sheathing R-value.</w:t>
      </w:r>
      <w:r w:rsidR="00E602E4" w:rsidRPr="00E602E4">
        <w:rPr>
          <w:rFonts w:ascii="Arial" w:eastAsia="Calibri" w:hAnsi="Arial" w:cs="Arial"/>
          <w:i/>
          <w:iCs/>
          <w:snapToGrid/>
          <w:szCs w:val="24"/>
        </w:rPr>
        <w:t xml:space="preserve"> </w:t>
      </w:r>
      <w:r w:rsidR="000E0C61">
        <w:rPr>
          <w:rFonts w:ascii="Arial" w:hAnsi="Arial" w:cs="Arial"/>
          <w:color w:val="000000"/>
          <w:shd w:val="clear" w:color="auto" w:fill="FFFFFF"/>
        </w:rPr>
        <w:t>(end double strikeout) </w:t>
      </w:r>
    </w:p>
    <w:p w14:paraId="6A2DE64B" w14:textId="2F329C95" w:rsidR="008C22A3" w:rsidRDefault="008C22A3" w:rsidP="00CF6C6F">
      <w:pPr>
        <w:spacing w:after="120"/>
        <w:rPr>
          <w:snapToGrid/>
        </w:rPr>
      </w:pPr>
      <w:r w:rsidRPr="00D473CC">
        <w:rPr>
          <w:b/>
        </w:rPr>
        <w:t>Rationale:</w:t>
      </w:r>
      <w:r w:rsidRPr="00D473CC">
        <w:t xml:space="preserve"> </w:t>
      </w:r>
      <w:r w:rsidRPr="00D473CC">
        <w:rPr>
          <w:snapToGrid/>
        </w:rPr>
        <w:t>HCD proposes to repeal the above California amendment</w:t>
      </w:r>
      <w:r w:rsidR="00C760F2" w:rsidRPr="00D473CC">
        <w:rPr>
          <w:snapToGrid/>
        </w:rPr>
        <w:t>s</w:t>
      </w:r>
      <w:r w:rsidRPr="00D473CC">
        <w:rPr>
          <w:snapToGrid/>
        </w:rPr>
        <w:t xml:space="preserve"> from Chapter 7 </w:t>
      </w:r>
      <w:r w:rsidRPr="00D473CC">
        <w:rPr>
          <w:snapToGrid/>
        </w:rPr>
        <w:lastRenderedPageBreak/>
        <w:t>of the 2019 CRC. Although Item 12 was described as repealing identified text from the 2019 CRC, the text to be repealed was not shown in the strikeout format as noted in the legend. This version correctly displays the text in strikeout format. There is no regulatory change from the previous text in the 45-day Express Terms document.</w:t>
      </w:r>
    </w:p>
    <w:p w14:paraId="04D5C324" w14:textId="6FBD1ABA" w:rsidR="00E0022E" w:rsidRPr="00D473CC" w:rsidRDefault="00E0022E" w:rsidP="00CF6C6F">
      <w:pPr>
        <w:spacing w:after="120"/>
        <w:rPr>
          <w:snapToGrid/>
        </w:rPr>
      </w:pPr>
      <w:r>
        <w:rPr>
          <w:snapToGrid/>
        </w:rPr>
        <w:t xml:space="preserve">HCD continues to propose adoption of 2021 IRC sections R702.7 and R702.7.1 </w:t>
      </w:r>
      <w:r w:rsidR="0013656A">
        <w:rPr>
          <w:snapToGrid/>
        </w:rPr>
        <w:t xml:space="preserve">(as retitled) </w:t>
      </w:r>
      <w:r>
        <w:rPr>
          <w:snapToGrid/>
        </w:rPr>
        <w:t xml:space="preserve">into the 2022 CRC. </w:t>
      </w:r>
      <w:r w:rsidR="00FC5D3C" w:rsidRPr="00601EE7">
        <w:rPr>
          <w:snapToGrid/>
        </w:rPr>
        <w:t>These sections also reference 2021 IRC Table 702.7(3) also proposed to be adopted into the 2022 CRC.</w:t>
      </w:r>
      <w:r w:rsidR="00FC5D3C">
        <w:rPr>
          <w:snapToGrid/>
        </w:rPr>
        <w:t xml:space="preserve"> </w:t>
      </w:r>
      <w:r>
        <w:rPr>
          <w:snapToGrid/>
        </w:rPr>
        <w:t>The California Energy Commission is proposing a cross reference table for California Energy Code Climate Zones</w:t>
      </w:r>
      <w:r w:rsidR="003D7E8A">
        <w:rPr>
          <w:snapToGrid/>
        </w:rPr>
        <w:t xml:space="preserve"> as used in California and the International Climate Zones as referenced in the 2021 IRC. Table R702.7.4 IECC vs California Energy Code Climate Zone Comparison will provide code users with the comparable California Climate zones to be used when interpreting the CRC.</w:t>
      </w:r>
    </w:p>
    <w:p w14:paraId="0141C4CF" w14:textId="0F8AB69E" w:rsidR="00CF6C6F" w:rsidRDefault="00CF6C6F" w:rsidP="00F86E02">
      <w:pPr>
        <w:widowControl/>
        <w:spacing w:before="120" w:after="120"/>
        <w:rPr>
          <w:rFonts w:ascii="Arial" w:hAnsi="Arial" w:cs="Arial"/>
          <w:color w:val="000000"/>
          <w:shd w:val="clear" w:color="auto" w:fill="FFFFFF"/>
        </w:rPr>
      </w:pPr>
      <w:r>
        <w:rPr>
          <w:rFonts w:ascii="Arial" w:hAnsi="Arial" w:cs="Arial"/>
          <w:color w:val="000000"/>
          <w:shd w:val="clear" w:color="auto" w:fill="FFFFFF"/>
        </w:rPr>
        <w:t>(begin double underline)</w:t>
      </w:r>
      <w:r w:rsidR="00F86E02">
        <w:rPr>
          <w:rFonts w:ascii="Arial" w:hAnsi="Arial" w:cs="Arial"/>
          <w:color w:val="000000"/>
          <w:shd w:val="clear" w:color="auto" w:fill="FFFFFF"/>
        </w:rPr>
        <w:t xml:space="preserve"> </w:t>
      </w:r>
      <w:r w:rsidRPr="00AB528B">
        <w:rPr>
          <w:rFonts w:ascii="Arial" w:eastAsia="Calibri" w:hAnsi="Arial" w:cs="Arial"/>
          <w:b/>
          <w:bCs/>
          <w:strike/>
          <w:szCs w:val="24"/>
          <w:u w:val="double"/>
        </w:rPr>
        <w:t>TABLE 702.7(3) (formerly TABLE 702.7.1) Class III vapor retarders.</w:t>
      </w:r>
      <w:r w:rsidRPr="000B046A">
        <w:rPr>
          <w:rFonts w:ascii="Arial" w:hAnsi="Arial" w:cs="Arial"/>
          <w:color w:val="000000"/>
          <w:shd w:val="clear" w:color="auto" w:fill="FFFFFF"/>
        </w:rPr>
        <w:t xml:space="preserve"> </w:t>
      </w:r>
      <w:r>
        <w:rPr>
          <w:rFonts w:ascii="Arial" w:hAnsi="Arial" w:cs="Arial"/>
          <w:color w:val="000000"/>
          <w:shd w:val="clear" w:color="auto" w:fill="FFFFFF"/>
        </w:rPr>
        <w:t>(end double underline)</w:t>
      </w:r>
    </w:p>
    <w:p w14:paraId="7A84413A" w14:textId="2DD7362B" w:rsidR="00AC1897" w:rsidRPr="00AC1897" w:rsidRDefault="00AC1897" w:rsidP="00AC1897">
      <w:pPr>
        <w:spacing w:after="120"/>
        <w:rPr>
          <w:snapToGrid/>
        </w:rPr>
      </w:pPr>
      <w:r w:rsidRPr="00D473CC">
        <w:rPr>
          <w:b/>
        </w:rPr>
        <w:t>Rationale:</w:t>
      </w:r>
      <w:r w:rsidRPr="00D473CC">
        <w:t xml:space="preserve"> </w:t>
      </w:r>
      <w:r w:rsidRPr="00AC1897">
        <w:rPr>
          <w:snapToGrid/>
        </w:rPr>
        <w:t xml:space="preserve">HCD proposes to adopt Table 702.7(3) and it </w:t>
      </w:r>
      <w:r w:rsidR="006C1C48">
        <w:rPr>
          <w:snapToGrid/>
        </w:rPr>
        <w:t xml:space="preserve">will </w:t>
      </w:r>
      <w:r w:rsidRPr="00AC1897">
        <w:rPr>
          <w:snapToGrid/>
        </w:rPr>
        <w:t>be printed in the 2022 CRC.</w:t>
      </w:r>
    </w:p>
    <w:p w14:paraId="0FD95B8E" w14:textId="77777777" w:rsidR="008C22A3" w:rsidRPr="0044593B" w:rsidRDefault="008C22A3" w:rsidP="008C22A3">
      <w:pPr>
        <w:spacing w:before="240"/>
        <w:rPr>
          <w:rFonts w:ascii="Arial" w:hAnsi="Arial" w:cs="Arial"/>
        </w:rPr>
      </w:pPr>
      <w:r w:rsidRPr="0044593B">
        <w:rPr>
          <w:rFonts w:ascii="Arial" w:hAnsi="Arial" w:cs="Arial"/>
          <w:b/>
        </w:rPr>
        <w:t>Notation:</w:t>
      </w:r>
    </w:p>
    <w:p w14:paraId="209A081E" w14:textId="65C792E0" w:rsidR="008C22A3" w:rsidRPr="0044593B" w:rsidRDefault="008C22A3" w:rsidP="008C22A3">
      <w:pPr>
        <w:spacing w:before="120"/>
        <w:rPr>
          <w:rFonts w:ascii="Arial" w:hAnsi="Arial" w:cs="Arial"/>
        </w:rPr>
      </w:pPr>
      <w:r w:rsidRPr="0044593B">
        <w:rPr>
          <w:rFonts w:ascii="Arial" w:hAnsi="Arial" w:cs="Arial"/>
        </w:rPr>
        <w:t xml:space="preserve">Authority: </w:t>
      </w:r>
      <w:r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01AD0A9" w14:textId="77777777" w:rsidR="008C22A3" w:rsidRPr="00CE584B" w:rsidRDefault="008C22A3" w:rsidP="008C22A3">
      <w:pPr>
        <w:widowControl/>
        <w:pBdr>
          <w:bottom w:val="single" w:sz="24" w:space="1" w:color="auto"/>
        </w:pBdr>
        <w:spacing w:before="120"/>
        <w:rPr>
          <w:rFonts w:ascii="Arial" w:hAnsi="Arial" w:cs="Arial"/>
          <w:b/>
          <w:bCs/>
          <w:snapToGrid/>
          <w:szCs w:val="24"/>
        </w:rPr>
      </w:pPr>
      <w:r w:rsidRPr="0044593B">
        <w:rPr>
          <w:rFonts w:ascii="Arial" w:hAnsi="Arial" w:cs="Arial"/>
        </w:rPr>
        <w:t xml:space="preserve">Reference(s): </w:t>
      </w:r>
      <w:r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EF2FBA0" w14:textId="63AB4EB1" w:rsidR="00E365AF" w:rsidRPr="0044593B" w:rsidRDefault="00E365AF" w:rsidP="00E365AF">
      <w:pPr>
        <w:spacing w:before="120"/>
        <w:rPr>
          <w:rFonts w:ascii="Arial" w:hAnsi="Arial" w:cs="Arial"/>
          <w:noProof/>
        </w:rPr>
      </w:pPr>
    </w:p>
    <w:sectPr w:rsidR="00E365AF" w:rsidRPr="0044593B"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716F" w14:textId="77777777" w:rsidR="00C94839" w:rsidRDefault="00C94839">
      <w:r>
        <w:separator/>
      </w:r>
    </w:p>
  </w:endnote>
  <w:endnote w:type="continuationSeparator" w:id="0">
    <w:p w14:paraId="12B966B4" w14:textId="77777777" w:rsidR="00C94839" w:rsidRDefault="00C9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23B2463D" w:rsidR="001A4A03" w:rsidRDefault="001A4A03" w:rsidP="007C04EF">
    <w:pPr>
      <w:pStyle w:val="Footer"/>
      <w:tabs>
        <w:tab w:val="clear" w:pos="4320"/>
        <w:tab w:val="clear" w:pos="8640"/>
        <w:tab w:val="right" w:pos="9180"/>
      </w:tabs>
      <w:rPr>
        <w:sz w:val="16"/>
      </w:rPr>
    </w:pPr>
    <w:r>
      <w:rPr>
        <w:sz w:val="16"/>
      </w:rPr>
      <w:t xml:space="preserve">BSC TP-104 (Rev. </w:t>
    </w:r>
    <w:r w:rsidR="00BF3E81">
      <w:rPr>
        <w:sz w:val="16"/>
      </w:rPr>
      <w:t>10</w:t>
    </w:r>
    <w:r>
      <w:rPr>
        <w:sz w:val="16"/>
      </w:rPr>
      <w:t>/</w:t>
    </w:r>
    <w:r w:rsidR="001D6710">
      <w:rPr>
        <w:sz w:val="16"/>
      </w:rPr>
      <w:t>20</w:t>
    </w:r>
    <w:r w:rsidRPr="004C48A0">
      <w:rPr>
        <w:sz w:val="16"/>
      </w:rPr>
      <w:t>)</w:t>
    </w:r>
    <w:r w:rsidR="00EC0A76">
      <w:rPr>
        <w:sz w:val="16"/>
      </w:rPr>
      <w:t xml:space="preserve"> Additional</w:t>
    </w:r>
    <w:r w:rsidR="004B6230">
      <w:rPr>
        <w:sz w:val="16"/>
      </w:rPr>
      <w:t xml:space="preserve"> 15-</w:t>
    </w:r>
    <w:r>
      <w:rPr>
        <w:sz w:val="16"/>
      </w:rPr>
      <w:t>Day Express Terms</w:t>
    </w:r>
    <w:r>
      <w:rPr>
        <w:sz w:val="16"/>
      </w:rPr>
      <w:tab/>
    </w:r>
    <w:r w:rsidR="00BB41CC">
      <w:rPr>
        <w:sz w:val="16"/>
      </w:rPr>
      <w:t xml:space="preserve">December </w:t>
    </w:r>
    <w:r w:rsidR="00E0022E">
      <w:rPr>
        <w:sz w:val="16"/>
      </w:rPr>
      <w:t>6</w:t>
    </w:r>
    <w:r w:rsidR="00BB41CC">
      <w:rPr>
        <w:sz w:val="16"/>
      </w:rPr>
      <w:t>, 2021</w:t>
    </w:r>
  </w:p>
  <w:p w14:paraId="723451C6" w14:textId="0E8E50ED" w:rsidR="001A4A03" w:rsidRPr="004C48A0" w:rsidRDefault="001A4A03" w:rsidP="007C04EF">
    <w:pPr>
      <w:pStyle w:val="Footer"/>
      <w:tabs>
        <w:tab w:val="clear" w:pos="4320"/>
        <w:tab w:val="clear" w:pos="8640"/>
        <w:tab w:val="center" w:pos="5040"/>
        <w:tab w:val="right" w:pos="9180"/>
      </w:tabs>
      <w:rPr>
        <w:rFonts w:ascii="Arial" w:hAnsi="Arial"/>
        <w:sz w:val="16"/>
        <w:szCs w:val="16"/>
      </w:rPr>
    </w:pPr>
    <w:r>
      <w:rPr>
        <w:rFonts w:ascii="Arial" w:hAnsi="Arial"/>
        <w:sz w:val="16"/>
        <w:szCs w:val="16"/>
      </w:rPr>
      <w:t xml:space="preserve">Rulemaking </w:t>
    </w:r>
    <w:r w:rsidR="000F6D3A">
      <w:rPr>
        <w:rFonts w:ascii="Arial" w:hAnsi="Arial"/>
        <w:sz w:val="16"/>
        <w:szCs w:val="16"/>
      </w:rPr>
      <w:t>File</w:t>
    </w:r>
    <w:r w:rsidR="004B6230">
      <w:rPr>
        <w:rFonts w:ascii="Arial" w:hAnsi="Arial"/>
        <w:sz w:val="16"/>
        <w:szCs w:val="16"/>
      </w:rPr>
      <w:t xml:space="preserve"> 06/21</w:t>
    </w:r>
    <w:r w:rsidR="00BB41CC">
      <w:rPr>
        <w:rFonts w:ascii="Arial" w:hAnsi="Arial"/>
        <w:sz w:val="16"/>
        <w:szCs w:val="16"/>
      </w:rPr>
      <w:t>–</w:t>
    </w:r>
    <w:r>
      <w:rPr>
        <w:rFonts w:ascii="Arial" w:hAnsi="Arial"/>
        <w:sz w:val="16"/>
        <w:szCs w:val="16"/>
      </w:rPr>
      <w:t xml:space="preserve"> Part</w:t>
    </w:r>
    <w:r w:rsidR="00BB41CC">
      <w:rPr>
        <w:rFonts w:ascii="Arial" w:hAnsi="Arial"/>
        <w:sz w:val="16"/>
        <w:szCs w:val="16"/>
      </w:rPr>
      <w:t> 2.5</w:t>
    </w:r>
    <w:r>
      <w:rPr>
        <w:rFonts w:ascii="Arial" w:hAnsi="Arial"/>
        <w:sz w:val="16"/>
        <w:szCs w:val="16"/>
      </w:rPr>
      <w:t xml:space="preserve"> </w:t>
    </w:r>
    <w:r w:rsidR="00BB41CC">
      <w:rPr>
        <w:rFonts w:ascii="Arial" w:hAnsi="Arial"/>
        <w:sz w:val="16"/>
        <w:szCs w:val="16"/>
      </w:rPr>
      <w:t xml:space="preserve">–2021 </w:t>
    </w:r>
    <w:r w:rsidR="004B6230" w:rsidRPr="004B6230">
      <w:rPr>
        <w:rFonts w:ascii="Arial" w:hAnsi="Arial"/>
        <w:sz w:val="16"/>
        <w:szCs w:val="16"/>
      </w:rPr>
      <w:t xml:space="preserve">Triennial </w:t>
    </w:r>
    <w:r>
      <w:rPr>
        <w:rFonts w:ascii="Arial" w:hAnsi="Arial"/>
        <w:sz w:val="16"/>
        <w:szCs w:val="16"/>
      </w:rPr>
      <w:t>Code Cycle</w:t>
    </w:r>
    <w:r w:rsidRPr="004C48A0">
      <w:rPr>
        <w:rFonts w:ascii="Arial" w:hAnsi="Arial"/>
        <w:sz w:val="16"/>
        <w:szCs w:val="16"/>
      </w:rPr>
      <w:tab/>
    </w:r>
    <w:r w:rsidRPr="004C48A0">
      <w:rPr>
        <w:rFonts w:ascii="Arial" w:hAnsi="Arial"/>
        <w:sz w:val="16"/>
        <w:szCs w:val="16"/>
      </w:rPr>
      <w:tab/>
    </w:r>
    <w:r w:rsidR="004B6230" w:rsidRPr="004B6230">
      <w:rPr>
        <w:sz w:val="16"/>
      </w:rPr>
      <w:t>HCD 06-21-Pt2.5 – 15-Day ET and Rationale</w:t>
    </w:r>
  </w:p>
  <w:p w14:paraId="5C321276" w14:textId="5FB8BC3B" w:rsidR="001A4A03" w:rsidRDefault="004B6230" w:rsidP="007C04EF">
    <w:pPr>
      <w:pStyle w:val="Footer"/>
      <w:tabs>
        <w:tab w:val="clear" w:pos="4320"/>
        <w:tab w:val="clear" w:pos="8640"/>
        <w:tab w:val="center" w:pos="4896"/>
        <w:tab w:val="right" w:pos="9180"/>
      </w:tabs>
      <w:rPr>
        <w:sz w:val="16"/>
      </w:rPr>
    </w:pPr>
    <w:r w:rsidRPr="004B6230">
      <w:rPr>
        <w:rFonts w:ascii="Arial" w:hAnsi="Arial"/>
        <w:sz w:val="16"/>
        <w:szCs w:val="16"/>
      </w:rPr>
      <w:t>Department of Housing and Community Development</w:t>
    </w:r>
    <w:r w:rsidR="000F6D3A">
      <w:rPr>
        <w:sz w:val="16"/>
      </w:rPr>
      <w:tab/>
    </w:r>
    <w:r w:rsidR="000F6D3A">
      <w:rPr>
        <w:rStyle w:val="PageNumber"/>
        <w:rFonts w:ascii="Arial" w:hAnsi="Arial" w:cs="Arial"/>
        <w:sz w:val="16"/>
      </w:rPr>
      <w:t xml:space="preserve">Page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PAGE </w:instrText>
    </w:r>
    <w:r w:rsidR="000F6D3A" w:rsidRPr="00B1767F">
      <w:rPr>
        <w:rStyle w:val="PageNumber"/>
        <w:rFonts w:ascii="Arial" w:hAnsi="Arial" w:cs="Arial"/>
        <w:sz w:val="16"/>
      </w:rPr>
      <w:fldChar w:fldCharType="separate"/>
    </w:r>
    <w:r w:rsidR="000F6D3A">
      <w:rPr>
        <w:rStyle w:val="PageNumber"/>
        <w:rFonts w:ascii="Arial" w:hAnsi="Arial" w:cs="Arial"/>
        <w:sz w:val="16"/>
      </w:rPr>
      <w:t>1</w:t>
    </w:r>
    <w:r w:rsidR="000F6D3A" w:rsidRPr="00B1767F">
      <w:rPr>
        <w:rStyle w:val="PageNumber"/>
        <w:rFonts w:ascii="Arial" w:hAnsi="Arial" w:cs="Arial"/>
        <w:sz w:val="16"/>
      </w:rPr>
      <w:fldChar w:fldCharType="end"/>
    </w:r>
    <w:r w:rsidR="000F6D3A" w:rsidRPr="00B1767F">
      <w:rPr>
        <w:rStyle w:val="PageNumber"/>
        <w:rFonts w:ascii="Arial" w:hAnsi="Arial" w:cs="Arial"/>
        <w:sz w:val="16"/>
      </w:rPr>
      <w:t xml:space="preserve"> of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NUMPAGES </w:instrText>
    </w:r>
    <w:r w:rsidR="000F6D3A" w:rsidRPr="00B1767F">
      <w:rPr>
        <w:rStyle w:val="PageNumber"/>
        <w:rFonts w:ascii="Arial" w:hAnsi="Arial" w:cs="Arial"/>
        <w:sz w:val="16"/>
      </w:rPr>
      <w:fldChar w:fldCharType="separate"/>
    </w:r>
    <w:r w:rsidR="000F6D3A">
      <w:rPr>
        <w:rStyle w:val="PageNumber"/>
        <w:rFonts w:ascii="Arial" w:hAnsi="Arial" w:cs="Arial"/>
        <w:sz w:val="16"/>
      </w:rPr>
      <w:t>2</w:t>
    </w:r>
    <w:r w:rsidR="000F6D3A" w:rsidRPr="00B1767F">
      <w:rPr>
        <w:rStyle w:val="PageNumber"/>
        <w:rFonts w:ascii="Arial" w:hAnsi="Arial"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4ACA" w14:textId="77777777" w:rsidR="00C94839" w:rsidRDefault="00C94839">
      <w:r>
        <w:separator/>
      </w:r>
    </w:p>
  </w:footnote>
  <w:footnote w:type="continuationSeparator" w:id="0">
    <w:p w14:paraId="34350A40" w14:textId="77777777" w:rsidR="00C94839" w:rsidRDefault="00C9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1D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4434D71"/>
    <w:multiLevelType w:val="hybridMultilevel"/>
    <w:tmpl w:val="FF54C7FC"/>
    <w:lvl w:ilvl="0" w:tplc="BD18C5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B6693"/>
    <w:multiLevelType w:val="hybridMultilevel"/>
    <w:tmpl w:val="A8B4A6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C40"/>
    <w:rsid w:val="00023B9A"/>
    <w:rsid w:val="000257AD"/>
    <w:rsid w:val="00056453"/>
    <w:rsid w:val="000B046A"/>
    <w:rsid w:val="000B33E0"/>
    <w:rsid w:val="000C5682"/>
    <w:rsid w:val="000E0C61"/>
    <w:rsid w:val="000E24B4"/>
    <w:rsid w:val="000F2EEE"/>
    <w:rsid w:val="000F6D3A"/>
    <w:rsid w:val="0010196C"/>
    <w:rsid w:val="00123F82"/>
    <w:rsid w:val="001362F4"/>
    <w:rsid w:val="0013656A"/>
    <w:rsid w:val="0017531B"/>
    <w:rsid w:val="00175449"/>
    <w:rsid w:val="001845B6"/>
    <w:rsid w:val="001A4A03"/>
    <w:rsid w:val="001D5566"/>
    <w:rsid w:val="001D6710"/>
    <w:rsid w:val="001E635B"/>
    <w:rsid w:val="00234A84"/>
    <w:rsid w:val="00235B37"/>
    <w:rsid w:val="002367DC"/>
    <w:rsid w:val="00297570"/>
    <w:rsid w:val="002A0905"/>
    <w:rsid w:val="002D3F86"/>
    <w:rsid w:val="002D5E4A"/>
    <w:rsid w:val="002F2546"/>
    <w:rsid w:val="0030639B"/>
    <w:rsid w:val="003324BE"/>
    <w:rsid w:val="00343F13"/>
    <w:rsid w:val="0037506B"/>
    <w:rsid w:val="00391B17"/>
    <w:rsid w:val="003942B6"/>
    <w:rsid w:val="003A619D"/>
    <w:rsid w:val="003D46A3"/>
    <w:rsid w:val="003D7E8A"/>
    <w:rsid w:val="003E1AB0"/>
    <w:rsid w:val="00433E49"/>
    <w:rsid w:val="0044593B"/>
    <w:rsid w:val="0049187B"/>
    <w:rsid w:val="004A7A48"/>
    <w:rsid w:val="004B2AB9"/>
    <w:rsid w:val="004B48D5"/>
    <w:rsid w:val="004B6230"/>
    <w:rsid w:val="004C48A0"/>
    <w:rsid w:val="00563190"/>
    <w:rsid w:val="005B5184"/>
    <w:rsid w:val="005D2DCC"/>
    <w:rsid w:val="005E162F"/>
    <w:rsid w:val="005F1F14"/>
    <w:rsid w:val="005F696F"/>
    <w:rsid w:val="00601EE7"/>
    <w:rsid w:val="0061175B"/>
    <w:rsid w:val="006169B9"/>
    <w:rsid w:val="00631F79"/>
    <w:rsid w:val="0066053D"/>
    <w:rsid w:val="006721FC"/>
    <w:rsid w:val="00675E1D"/>
    <w:rsid w:val="006B4376"/>
    <w:rsid w:val="006B747C"/>
    <w:rsid w:val="006C1C48"/>
    <w:rsid w:val="007320CF"/>
    <w:rsid w:val="00767766"/>
    <w:rsid w:val="00776FA8"/>
    <w:rsid w:val="00786248"/>
    <w:rsid w:val="007915D5"/>
    <w:rsid w:val="007A674B"/>
    <w:rsid w:val="007C04EF"/>
    <w:rsid w:val="007C15A3"/>
    <w:rsid w:val="007C4832"/>
    <w:rsid w:val="007E6A6C"/>
    <w:rsid w:val="0081299A"/>
    <w:rsid w:val="008272DB"/>
    <w:rsid w:val="00862625"/>
    <w:rsid w:val="00874876"/>
    <w:rsid w:val="008A2AC5"/>
    <w:rsid w:val="008A3DD5"/>
    <w:rsid w:val="008A63C7"/>
    <w:rsid w:val="008B48BA"/>
    <w:rsid w:val="008C22A3"/>
    <w:rsid w:val="008E36A8"/>
    <w:rsid w:val="00923E68"/>
    <w:rsid w:val="00924704"/>
    <w:rsid w:val="00926738"/>
    <w:rsid w:val="0092735E"/>
    <w:rsid w:val="00933897"/>
    <w:rsid w:val="009462E9"/>
    <w:rsid w:val="009726D6"/>
    <w:rsid w:val="00995899"/>
    <w:rsid w:val="009A693A"/>
    <w:rsid w:val="009C5549"/>
    <w:rsid w:val="009D10AD"/>
    <w:rsid w:val="009E0E79"/>
    <w:rsid w:val="009E6B12"/>
    <w:rsid w:val="00A07EE6"/>
    <w:rsid w:val="00A138AA"/>
    <w:rsid w:val="00A60CA1"/>
    <w:rsid w:val="00A63EF9"/>
    <w:rsid w:val="00A813A1"/>
    <w:rsid w:val="00AC1897"/>
    <w:rsid w:val="00AC1F10"/>
    <w:rsid w:val="00AF4D10"/>
    <w:rsid w:val="00AF4E96"/>
    <w:rsid w:val="00B12576"/>
    <w:rsid w:val="00B435D5"/>
    <w:rsid w:val="00B53C67"/>
    <w:rsid w:val="00B740EE"/>
    <w:rsid w:val="00BB41CC"/>
    <w:rsid w:val="00BE502D"/>
    <w:rsid w:val="00BF3E81"/>
    <w:rsid w:val="00C36475"/>
    <w:rsid w:val="00C44C36"/>
    <w:rsid w:val="00C569F0"/>
    <w:rsid w:val="00C6643B"/>
    <w:rsid w:val="00C67B72"/>
    <w:rsid w:val="00C760F2"/>
    <w:rsid w:val="00C94839"/>
    <w:rsid w:val="00CB69CE"/>
    <w:rsid w:val="00CE6C90"/>
    <w:rsid w:val="00CF2161"/>
    <w:rsid w:val="00CF3372"/>
    <w:rsid w:val="00CF6C6F"/>
    <w:rsid w:val="00D04B58"/>
    <w:rsid w:val="00D13D82"/>
    <w:rsid w:val="00D30882"/>
    <w:rsid w:val="00D473CC"/>
    <w:rsid w:val="00D65D4A"/>
    <w:rsid w:val="00D67CC8"/>
    <w:rsid w:val="00D91AE2"/>
    <w:rsid w:val="00DB2E73"/>
    <w:rsid w:val="00DD1947"/>
    <w:rsid w:val="00E0022E"/>
    <w:rsid w:val="00E016BA"/>
    <w:rsid w:val="00E22041"/>
    <w:rsid w:val="00E3628E"/>
    <w:rsid w:val="00E365AF"/>
    <w:rsid w:val="00E3790F"/>
    <w:rsid w:val="00E45D23"/>
    <w:rsid w:val="00E5214A"/>
    <w:rsid w:val="00E53D35"/>
    <w:rsid w:val="00E602E4"/>
    <w:rsid w:val="00E77DB2"/>
    <w:rsid w:val="00EA1267"/>
    <w:rsid w:val="00EA55B4"/>
    <w:rsid w:val="00EC0A76"/>
    <w:rsid w:val="00EC1406"/>
    <w:rsid w:val="00ED27E1"/>
    <w:rsid w:val="00EF26E2"/>
    <w:rsid w:val="00F152F2"/>
    <w:rsid w:val="00F17139"/>
    <w:rsid w:val="00F22CD9"/>
    <w:rsid w:val="00F768B4"/>
    <w:rsid w:val="00F86E02"/>
    <w:rsid w:val="00F87B9E"/>
    <w:rsid w:val="00F97C83"/>
    <w:rsid w:val="00FB34BE"/>
    <w:rsid w:val="00FC5D3C"/>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786248"/>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6B437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nhideWhenUsed/>
    <w:rsid w:val="00EA55B4"/>
    <w:rPr>
      <w:sz w:val="16"/>
      <w:szCs w:val="16"/>
    </w:rPr>
  </w:style>
  <w:style w:type="paragraph" w:styleId="CommentText">
    <w:name w:val="annotation text"/>
    <w:basedOn w:val="Normal"/>
    <w:link w:val="CommentTextChar"/>
    <w:uiPriority w:val="99"/>
    <w:unhideWhenUsed/>
    <w:rsid w:val="00EA55B4"/>
    <w:rPr>
      <w:sz w:val="20"/>
    </w:rPr>
  </w:style>
  <w:style w:type="character" w:customStyle="1" w:styleId="CommentTextChar">
    <w:name w:val="Comment Text Char"/>
    <w:basedOn w:val="DefaultParagraphFont"/>
    <w:link w:val="CommentText"/>
    <w:uiPriority w:val="99"/>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semiHidden/>
    <w:rsid w:val="006B4376"/>
    <w:rPr>
      <w:rFonts w:asciiTheme="majorHAnsi" w:eastAsiaTheme="majorEastAsia" w:hAnsiTheme="majorHAnsi" w:cstheme="majorBidi"/>
      <w:snapToGrid w:val="0"/>
      <w:color w:val="243F60" w:themeColor="accent1" w:themeShade="7F"/>
      <w:sz w:val="24"/>
      <w:szCs w:val="24"/>
    </w:rPr>
  </w:style>
  <w:style w:type="paragraph" w:styleId="Revision">
    <w:name w:val="Revision"/>
    <w:hidden/>
    <w:uiPriority w:val="99"/>
    <w:semiHidden/>
    <w:rsid w:val="00E0022E"/>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BSC Template 104 15-day ET</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06-21-15-day ET-PT2.5</dc:title>
  <dc:creator>CBSC</dc:creator>
  <cp:lastModifiedBy>Brauzman, Irina@DGS</cp:lastModifiedBy>
  <cp:revision>3</cp:revision>
  <cp:lastPrinted>2020-05-13T17:58:00Z</cp:lastPrinted>
  <dcterms:created xsi:type="dcterms:W3CDTF">2021-12-06T21:45:00Z</dcterms:created>
  <dcterms:modified xsi:type="dcterms:W3CDTF">2021-12-06T21:45:00Z</dcterms:modified>
</cp:coreProperties>
</file>