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587B" w14:textId="5E877ED2" w:rsidR="00EA55B4" w:rsidRPr="0044593B" w:rsidRDefault="00786248" w:rsidP="00EA55B4">
      <w:pPr>
        <w:pStyle w:val="Heading1"/>
        <w:spacing w:before="0" w:after="0"/>
        <w:jc w:val="center"/>
        <w:rPr>
          <w:rFonts w:cs="Arial"/>
        </w:rPr>
      </w:pPr>
      <w:r w:rsidRPr="0044593B">
        <w:rPr>
          <w:rFonts w:cs="Arial"/>
        </w:rPr>
        <w:t>ADDITIONAL</w:t>
      </w:r>
      <w:r w:rsidR="00767766" w:rsidRPr="0044593B">
        <w:rPr>
          <w:rFonts w:cs="Arial"/>
        </w:rPr>
        <w:t xml:space="preserve"> </w:t>
      </w:r>
      <w:r w:rsidR="0069047D">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69047D">
        <w:rPr>
          <w:rFonts w:cs="Arial"/>
        </w:rPr>
        <w:t>STATE FIRE MARSHAL</w:t>
      </w:r>
      <w:r w:rsidR="00767766" w:rsidRPr="0044593B">
        <w:rPr>
          <w:rFonts w:cs="Arial"/>
        </w:rPr>
        <w:br/>
        <w:t xml:space="preserve">REGARDING THE </w:t>
      </w:r>
      <w:r w:rsidR="0069047D">
        <w:rPr>
          <w:rFonts w:cs="Arial"/>
        </w:rPr>
        <w:t>2022 CALIFORNIA MECHANICAL CODE</w:t>
      </w:r>
      <w:r w:rsidR="00767766" w:rsidRPr="0044593B">
        <w:rPr>
          <w:rFonts w:cs="Arial"/>
        </w:rPr>
        <w:t>,</w:t>
      </w:r>
    </w:p>
    <w:p w14:paraId="21B144CC" w14:textId="12089F14" w:rsidR="00767766" w:rsidRPr="0044593B" w:rsidRDefault="00767766" w:rsidP="0092735E">
      <w:pPr>
        <w:pStyle w:val="Heading1"/>
        <w:spacing w:before="0"/>
        <w:jc w:val="center"/>
        <w:rPr>
          <w:rFonts w:cs="Arial"/>
        </w:rPr>
      </w:pPr>
      <w:r w:rsidRPr="0044593B">
        <w:rPr>
          <w:rFonts w:cs="Arial"/>
        </w:rPr>
        <w:t xml:space="preserve">CALIFORNIA CODE OF REGULATIONS, TITLE 24, PART </w:t>
      </w:r>
      <w:r w:rsidR="0069047D">
        <w:rPr>
          <w:rFonts w:cs="Arial"/>
        </w:rPr>
        <w:t>4</w:t>
      </w:r>
    </w:p>
    <w:p w14:paraId="28A8FEFB" w14:textId="5DBC84DA" w:rsidR="00767766" w:rsidRPr="0044593B" w:rsidRDefault="00767766" w:rsidP="0092735E">
      <w:pPr>
        <w:pStyle w:val="Heading1"/>
        <w:spacing w:after="120"/>
        <w:jc w:val="center"/>
        <w:rPr>
          <w:rFonts w:cs="Arial"/>
          <w:szCs w:val="24"/>
        </w:rPr>
      </w:pPr>
      <w:r w:rsidRPr="0044593B">
        <w:rPr>
          <w:rFonts w:cs="Arial"/>
          <w:szCs w:val="24"/>
        </w:rPr>
        <w:t>(</w:t>
      </w:r>
      <w:r w:rsidR="006A3EB0">
        <w:rPr>
          <w:rFonts w:cs="Arial"/>
          <w:szCs w:val="24"/>
        </w:rPr>
        <w:t>SFM 01/21</w:t>
      </w:r>
      <w:r w:rsidRPr="0044593B">
        <w:rPr>
          <w:rFonts w:cs="Arial"/>
          <w:szCs w:val="24"/>
        </w:rPr>
        <w:t>)</w:t>
      </w:r>
    </w:p>
    <w:p w14:paraId="2CC5E725" w14:textId="7C5CD51B" w:rsidR="0017531B" w:rsidRPr="0044593B" w:rsidRDefault="00FB34BE" w:rsidP="00FB34BE">
      <w:pPr>
        <w:spacing w:after="120"/>
        <w:rPr>
          <w:rFonts w:ascii="Arial" w:hAnsi="Arial" w:cs="Arial"/>
        </w:rPr>
      </w:pPr>
      <w:r w:rsidRPr="0044593B">
        <w:rPr>
          <w:rFonts w:ascii="Arial" w:hAnsi="Arial" w:cs="Arial"/>
        </w:rPr>
        <w:t xml:space="preserve">No state agency may adopt, amend, or repeal a regulation which has been changed from that which was originally made available to the public pursuant to Section 11346.5, unless the change is (1) </w:t>
      </w:r>
      <w:proofErr w:type="spellStart"/>
      <w:r w:rsidRPr="0044593B">
        <w:rPr>
          <w:rFonts w:ascii="Arial" w:hAnsi="Arial" w:cs="Arial"/>
        </w:rPr>
        <w:t>nonsubstantial</w:t>
      </w:r>
      <w:proofErr w:type="spellEnd"/>
      <w:r w:rsidRPr="0044593B">
        <w:rPr>
          <w:rFonts w:ascii="Arial" w:hAnsi="Arial" w:cs="Arial"/>
        </w:rPr>
        <w:t xml:space="preserve">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ascii="Arial" w:hAnsi="Arial" w:cs="Arial"/>
        </w:rPr>
        <w:t xml:space="preserve"> or 45</w:t>
      </w:r>
      <w:r w:rsidRPr="0044593B">
        <w:rPr>
          <w:rFonts w:ascii="Arial" w:hAnsi="Arial" w:cs="Arial"/>
        </w:rPr>
        <w:t xml:space="preserve"> days before the agency adopts, amends, or repeals the resulting regulation.</w:t>
      </w:r>
    </w:p>
    <w:p w14:paraId="1D0B4194" w14:textId="10613FFF" w:rsidR="00FB34BE" w:rsidRPr="0044593B" w:rsidRDefault="00FB34BE" w:rsidP="00FB34BE">
      <w:pPr>
        <w:spacing w:after="120"/>
        <w:rPr>
          <w:rFonts w:ascii="Arial" w:hAnsi="Arial" w:cs="Arial"/>
        </w:rPr>
      </w:pPr>
      <w:r w:rsidRPr="0044593B">
        <w:rPr>
          <w:rFonts w:ascii="Arial" w:hAnsi="Arial"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ascii="Arial" w:hAnsi="Arial" w:cs="Arial"/>
          <w:szCs w:val="24"/>
        </w:rPr>
      </w:pPr>
      <w:r w:rsidRPr="0044593B">
        <w:rPr>
          <w:rFonts w:ascii="Arial" w:hAnsi="Arial" w:cs="Arial"/>
          <w:szCs w:val="24"/>
        </w:rPr>
        <w:t>If using assistive technology, please adjust your settings to recognize underline, strikeout</w:t>
      </w:r>
      <w:r w:rsidR="008A63C7">
        <w:rPr>
          <w:rFonts w:ascii="Arial" w:hAnsi="Arial" w:cs="Arial"/>
          <w:szCs w:val="24"/>
        </w:rPr>
        <w:t>, double strikeout</w:t>
      </w:r>
      <w:r w:rsidRPr="0044593B">
        <w:rPr>
          <w:rFonts w:ascii="Arial" w:hAnsi="Arial" w:cs="Arial"/>
          <w:szCs w:val="24"/>
        </w:rPr>
        <w:t xml:space="preserve">, </w:t>
      </w:r>
      <w:proofErr w:type="gramStart"/>
      <w:r w:rsidRPr="0044593B">
        <w:rPr>
          <w:rFonts w:ascii="Arial" w:hAnsi="Arial" w:cs="Arial"/>
          <w:szCs w:val="24"/>
        </w:rPr>
        <w:t>italics</w:t>
      </w:r>
      <w:proofErr w:type="gramEnd"/>
      <w:r w:rsidRPr="0044593B">
        <w:rPr>
          <w:rFonts w:ascii="Arial" w:hAnsi="Arial" w:cs="Arial"/>
          <w:szCs w:val="24"/>
        </w:rPr>
        <w:t xml:space="preserve"> and ellipsis.</w:t>
      </w:r>
      <w:r w:rsidR="003324BE" w:rsidRPr="0044593B">
        <w:rPr>
          <w:rFonts w:ascii="Arial" w:hAnsi="Arial"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786248">
      <w:pPr>
        <w:pStyle w:val="Heading2"/>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ascii="Arial" w:hAnsi="Arial" w:cs="Arial"/>
        </w:rPr>
      </w:pPr>
      <w:bookmarkStart w:id="0" w:name="_Hlk51751202"/>
      <w:r w:rsidRPr="0044593B">
        <w:rPr>
          <w:rFonts w:ascii="Arial" w:hAnsi="Arial" w:cs="Arial"/>
        </w:rPr>
        <w:t>Model Code language appears upright</w:t>
      </w:r>
      <w:r w:rsidR="00B53C67" w:rsidRPr="0044593B">
        <w:rPr>
          <w:rFonts w:ascii="Arial" w:hAnsi="Arial" w:cs="Arial"/>
        </w:rPr>
        <w:t>.</w:t>
      </w:r>
    </w:p>
    <w:p w14:paraId="52AB6E65" w14:textId="395D7A77" w:rsidR="00CF2161" w:rsidRPr="0044593B" w:rsidRDefault="00CF2161" w:rsidP="00CF2161">
      <w:pPr>
        <w:pStyle w:val="ListParagraph"/>
        <w:numPr>
          <w:ilvl w:val="0"/>
          <w:numId w:val="5"/>
        </w:numPr>
        <w:rPr>
          <w:rFonts w:ascii="Arial" w:hAnsi="Arial" w:cs="Arial"/>
          <w:iCs/>
        </w:rPr>
      </w:pPr>
      <w:r w:rsidRPr="0044593B">
        <w:rPr>
          <w:rFonts w:ascii="Arial" w:hAnsi="Arial" w:cs="Arial"/>
        </w:rPr>
        <w:t xml:space="preserve">Unmodified California 45-day amendments appear in </w:t>
      </w:r>
      <w:r w:rsidRPr="008A63C7">
        <w:rPr>
          <w:rFonts w:ascii="Arial" w:hAnsi="Arial" w:cs="Arial"/>
          <w:i/>
          <w:u w:val="single"/>
        </w:rPr>
        <w:t xml:space="preserve">underline </w:t>
      </w:r>
      <w:r w:rsidR="00B53C67" w:rsidRPr="008A63C7">
        <w:rPr>
          <w:rFonts w:ascii="Arial" w:hAnsi="Arial" w:cs="Arial"/>
          <w:i/>
          <w:u w:val="single"/>
        </w:rPr>
        <w:t>and</w:t>
      </w:r>
      <w:r w:rsidRPr="008A63C7">
        <w:rPr>
          <w:rFonts w:ascii="Arial" w:hAnsi="Arial" w:cs="Arial"/>
          <w:i/>
          <w:u w:val="single"/>
        </w:rPr>
        <w:t xml:space="preserve"> italic</w:t>
      </w:r>
      <w:r w:rsidR="00B53C67" w:rsidRPr="0044593B">
        <w:rPr>
          <w:rFonts w:ascii="Arial" w:hAnsi="Arial" w:cs="Arial"/>
          <w:iCs/>
        </w:rPr>
        <w:t xml:space="preserve"> and </w:t>
      </w:r>
      <w:r w:rsidR="00B53C67" w:rsidRPr="008A63C7">
        <w:rPr>
          <w:rFonts w:ascii="Arial" w:hAnsi="Arial" w:cs="Arial"/>
          <w:i/>
          <w:strike/>
        </w:rPr>
        <w:t>strikeout and italic</w:t>
      </w:r>
      <w:r w:rsidR="00B53C67" w:rsidRPr="0044593B">
        <w:rPr>
          <w:rFonts w:ascii="Arial" w:hAnsi="Arial" w:cs="Arial"/>
          <w:i/>
        </w:rPr>
        <w:t>.</w:t>
      </w:r>
    </w:p>
    <w:p w14:paraId="15B6E9D7" w14:textId="265B8234" w:rsidR="00CF2161" w:rsidRPr="0044593B" w:rsidRDefault="00CF2161" w:rsidP="00CF2161">
      <w:pPr>
        <w:pStyle w:val="ListParagraph"/>
        <w:numPr>
          <w:ilvl w:val="0"/>
          <w:numId w:val="5"/>
        </w:numPr>
        <w:rPr>
          <w:rFonts w:ascii="Arial" w:hAnsi="Arial" w:cs="Arial"/>
          <w:i/>
          <w:u w:val="single"/>
        </w:rPr>
      </w:pPr>
      <w:r w:rsidRPr="0044593B">
        <w:rPr>
          <w:rFonts w:ascii="Arial" w:hAnsi="Arial" w:cs="Arial"/>
        </w:rPr>
        <w:t xml:space="preserve">California additional </w:t>
      </w:r>
      <w:r w:rsidR="00DD116B">
        <w:rPr>
          <w:rFonts w:ascii="Arial" w:hAnsi="Arial" w:cs="Arial"/>
        </w:rPr>
        <w:t>15</w:t>
      </w:r>
      <w:r w:rsidRPr="0044593B">
        <w:rPr>
          <w:rFonts w:ascii="Arial" w:hAnsi="Arial" w:cs="Arial"/>
        </w:rPr>
        <w:t xml:space="preserve">-day amendments appear in </w:t>
      </w:r>
      <w:r w:rsidRPr="008A63C7">
        <w:rPr>
          <w:rFonts w:ascii="Arial" w:hAnsi="Arial" w:cs="Arial"/>
          <w:i/>
          <w:iCs/>
          <w:u w:val="double"/>
        </w:rPr>
        <w:t>double underline and italic</w:t>
      </w:r>
      <w:r w:rsidRPr="0044593B">
        <w:rPr>
          <w:rFonts w:ascii="Arial" w:hAnsi="Arial" w:cs="Arial"/>
        </w:rPr>
        <w:t xml:space="preserve"> and </w:t>
      </w:r>
      <w:r w:rsidRPr="008A63C7">
        <w:rPr>
          <w:rFonts w:ascii="Arial" w:hAnsi="Arial" w:cs="Arial"/>
          <w:i/>
          <w:iCs/>
          <w:dstrike/>
        </w:rPr>
        <w:t>double strikeout and italic</w:t>
      </w:r>
      <w:r w:rsidRPr="0044593B">
        <w:rPr>
          <w:rFonts w:ascii="Arial" w:hAnsi="Arial" w:cs="Arial"/>
        </w:rPr>
        <w:t>.</w:t>
      </w:r>
    </w:p>
    <w:p w14:paraId="2535AC15" w14:textId="6DD9A469" w:rsidR="00CF2161" w:rsidRPr="0044593B" w:rsidRDefault="00B53C67" w:rsidP="00CF2161">
      <w:pPr>
        <w:pStyle w:val="ListParagraph"/>
        <w:numPr>
          <w:ilvl w:val="0"/>
          <w:numId w:val="5"/>
        </w:numPr>
        <w:rPr>
          <w:rFonts w:ascii="Arial" w:hAnsi="Arial" w:cs="Arial"/>
        </w:rPr>
      </w:pPr>
      <w:r w:rsidRPr="0044593B">
        <w:rPr>
          <w:rFonts w:ascii="Arial" w:hAnsi="Arial" w:cs="Arial"/>
        </w:rPr>
        <w:t xml:space="preserve">Ellipsis </w:t>
      </w:r>
      <w:proofErr w:type="gramStart"/>
      <w:r w:rsidRPr="0044593B">
        <w:rPr>
          <w:rFonts w:ascii="Arial" w:hAnsi="Arial" w:cs="Arial"/>
          <w:szCs w:val="24"/>
        </w:rPr>
        <w:t>(</w:t>
      </w:r>
      <w:r w:rsidRPr="0044593B">
        <w:rPr>
          <w:rFonts w:ascii="Arial" w:hAnsi="Arial" w:cs="Arial"/>
          <w:sz w:val="2"/>
          <w:szCs w:val="2"/>
        </w:rPr>
        <w:t xml:space="preserve"> </w:t>
      </w:r>
      <w:r w:rsidRPr="0044593B">
        <w:rPr>
          <w:rFonts w:ascii="Arial" w:eastAsia="Times New Roman" w:hAnsi="Arial" w:cs="Arial"/>
          <w:szCs w:val="24"/>
          <w:lang w:eastAsia="ko-KR"/>
        </w:rPr>
        <w:t>...</w:t>
      </w:r>
      <w:proofErr w:type="gramEnd"/>
      <w:r w:rsidRPr="0044593B">
        <w:rPr>
          <w:rFonts w:ascii="Arial" w:eastAsia="Times New Roman" w:hAnsi="Arial" w:cs="Arial"/>
          <w:szCs w:val="24"/>
          <w:lang w:eastAsia="ko-KR"/>
        </w:rPr>
        <w:t>)</w:t>
      </w:r>
      <w:r w:rsidRPr="0044593B">
        <w:rPr>
          <w:rFonts w:ascii="Arial" w:eastAsia="Times New Roman" w:hAnsi="Arial"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ascii="Arial" w:hAnsi="Arial" w:cs="Arial"/>
        </w:rPr>
      </w:pPr>
      <w:r w:rsidRPr="0044593B">
        <w:rPr>
          <w:rFonts w:ascii="Arial" w:hAnsi="Arial" w:cs="Arial"/>
          <w:b/>
          <w:bCs/>
        </w:rPr>
        <w:t>Rationale</w:t>
      </w:r>
      <w:r w:rsidRPr="0044593B">
        <w:rPr>
          <w:rFonts w:ascii="Arial" w:hAnsi="Arial"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ascii="Arial" w:hAnsi="Arial" w:cs="Arial"/>
          <w:sz w:val="10"/>
          <w:szCs w:val="10"/>
        </w:rPr>
      </w:pPr>
    </w:p>
    <w:p w14:paraId="2FC13DEB" w14:textId="77777777" w:rsidR="00EC0A76" w:rsidRPr="0044593B" w:rsidRDefault="00EC0A76" w:rsidP="00A07EE6">
      <w:pPr>
        <w:pBdr>
          <w:top w:val="single" w:sz="4" w:space="1" w:color="auto"/>
        </w:pBdr>
        <w:rPr>
          <w:rFonts w:ascii="Arial" w:hAnsi="Arial" w:cs="Arial"/>
        </w:rPr>
      </w:pPr>
    </w:p>
    <w:p w14:paraId="7D4E993D" w14:textId="650ACCCD" w:rsidR="00767766" w:rsidRPr="0044593B" w:rsidRDefault="00786248" w:rsidP="00EC0A76">
      <w:pPr>
        <w:pStyle w:val="Heading1"/>
        <w:spacing w:before="240" w:after="120"/>
        <w:rPr>
          <w:rFonts w:cs="Arial"/>
          <w:bCs/>
        </w:rPr>
      </w:pPr>
      <w:r w:rsidRPr="0044593B">
        <w:rPr>
          <w:rFonts w:cs="Arial"/>
        </w:rPr>
        <w:t>ADDITIONAL</w:t>
      </w:r>
      <w:r w:rsidR="00767766" w:rsidRPr="0044593B">
        <w:rPr>
          <w:rFonts w:cs="Arial"/>
        </w:rPr>
        <w:t xml:space="preserve"> </w:t>
      </w:r>
      <w:r w:rsidR="0069047D">
        <w:rPr>
          <w:rFonts w:cs="Arial"/>
        </w:rPr>
        <w:t>15</w:t>
      </w:r>
      <w:r w:rsidRPr="0044593B">
        <w:rPr>
          <w:rFonts w:cs="Arial"/>
        </w:rPr>
        <w:t xml:space="preserve">-DAY </w:t>
      </w:r>
      <w:r w:rsidR="00767766" w:rsidRPr="0044593B">
        <w:rPr>
          <w:rFonts w:cs="Arial"/>
        </w:rPr>
        <w:t>EXPRESS TERMS</w:t>
      </w:r>
    </w:p>
    <w:p w14:paraId="60781DFD" w14:textId="77777777" w:rsidR="0069047D" w:rsidRPr="0069047D" w:rsidRDefault="0069047D" w:rsidP="0069047D">
      <w:pPr>
        <w:keepNext/>
        <w:widowControl/>
        <w:tabs>
          <w:tab w:val="center" w:pos="4680"/>
        </w:tabs>
        <w:spacing w:before="60" w:line="320" w:lineRule="exact"/>
        <w:outlineLvl w:val="0"/>
        <w:rPr>
          <w:rFonts w:ascii="Arial" w:hAnsi="Arial" w:cs="Arial"/>
          <w:b/>
          <w:noProof/>
        </w:rPr>
      </w:pPr>
      <w:r w:rsidRPr="0069047D">
        <w:rPr>
          <w:rFonts w:ascii="Arial" w:hAnsi="Arial" w:cs="Arial"/>
          <w:b/>
        </w:rPr>
        <w:t xml:space="preserve">Item </w:t>
      </w:r>
      <w:r w:rsidRPr="0069047D">
        <w:rPr>
          <w:rFonts w:ascii="Arial" w:hAnsi="Arial" w:cs="Arial"/>
          <w:b/>
          <w:noProof/>
        </w:rPr>
        <w:t>11-2 (Addendum in Initial submittal)</w:t>
      </w:r>
      <w:r w:rsidRPr="0069047D">
        <w:rPr>
          <w:rFonts w:ascii="Arial" w:hAnsi="Arial" w:cs="Arial"/>
          <w:b/>
        </w:rPr>
        <w:br/>
        <w:t xml:space="preserve">Chapter </w:t>
      </w:r>
      <w:r w:rsidRPr="0069047D">
        <w:rPr>
          <w:rFonts w:ascii="Arial" w:hAnsi="Arial" w:cs="Arial"/>
          <w:b/>
          <w:noProof/>
        </w:rPr>
        <w:t>11, Refrigeration, Section 1104.6 Applications for Human Comfort and for Nonindustrial Occupanices</w:t>
      </w:r>
    </w:p>
    <w:p w14:paraId="7B2364A6" w14:textId="77777777" w:rsidR="0069047D" w:rsidRPr="0069047D" w:rsidRDefault="0069047D" w:rsidP="0069047D">
      <w:pPr>
        <w:widowControl/>
        <w:autoSpaceDE w:val="0"/>
        <w:autoSpaceDN w:val="0"/>
        <w:adjustRightInd w:val="0"/>
        <w:rPr>
          <w:rFonts w:ascii="Arial" w:hAnsi="Arial" w:cs="Arial"/>
          <w:b/>
          <w:bCs/>
          <w:snapToGrid/>
          <w:szCs w:val="24"/>
        </w:rPr>
      </w:pPr>
    </w:p>
    <w:p w14:paraId="17D92A2B" w14:textId="77777777" w:rsidR="0069047D" w:rsidRPr="0069047D" w:rsidRDefault="0069047D" w:rsidP="0069047D">
      <w:pPr>
        <w:widowControl/>
        <w:autoSpaceDE w:val="0"/>
        <w:autoSpaceDN w:val="0"/>
        <w:adjustRightInd w:val="0"/>
        <w:rPr>
          <w:rFonts w:ascii="Arial" w:hAnsi="Arial" w:cs="Arial"/>
          <w:b/>
          <w:bCs/>
          <w:snapToGrid/>
          <w:szCs w:val="24"/>
        </w:rPr>
      </w:pPr>
      <w:r w:rsidRPr="0069047D">
        <w:rPr>
          <w:rFonts w:ascii="Arial" w:hAnsi="Arial" w:cs="Arial"/>
          <w:b/>
          <w:bCs/>
          <w:snapToGrid/>
          <w:szCs w:val="24"/>
        </w:rPr>
        <w:t>1104.0 Requirements for Refrigerant and Refrigeration</w:t>
      </w:r>
    </w:p>
    <w:p w14:paraId="013382D3" w14:textId="77777777" w:rsidR="0069047D" w:rsidRPr="0069047D" w:rsidRDefault="0069047D" w:rsidP="0069047D">
      <w:pPr>
        <w:widowControl/>
        <w:rPr>
          <w:rFonts w:ascii="Arial" w:hAnsi="Arial" w:cs="Arial"/>
          <w:snapToGrid/>
          <w:szCs w:val="24"/>
        </w:rPr>
      </w:pPr>
      <w:r w:rsidRPr="0069047D">
        <w:rPr>
          <w:rFonts w:ascii="Arial" w:hAnsi="Arial" w:cs="Arial"/>
          <w:b/>
          <w:bCs/>
          <w:snapToGrid/>
          <w:szCs w:val="24"/>
        </w:rPr>
        <w:t>System Use.</w:t>
      </w:r>
    </w:p>
    <w:p w14:paraId="302E8BE8" w14:textId="77777777" w:rsidR="0069047D" w:rsidRPr="0069047D" w:rsidRDefault="0069047D" w:rsidP="0069047D">
      <w:pPr>
        <w:widowControl/>
        <w:rPr>
          <w:rFonts w:ascii="Arial" w:hAnsi="Arial" w:cs="Arial"/>
          <w:snapToGrid/>
          <w:szCs w:val="24"/>
        </w:rPr>
      </w:pPr>
    </w:p>
    <w:p w14:paraId="04BA000E" w14:textId="77777777" w:rsidR="0069047D" w:rsidRPr="0069047D" w:rsidRDefault="0069047D" w:rsidP="0069047D">
      <w:pPr>
        <w:widowControl/>
        <w:rPr>
          <w:rFonts w:ascii="Arial" w:hAnsi="Arial" w:cs="Arial"/>
          <w:snapToGrid/>
          <w:szCs w:val="24"/>
        </w:rPr>
      </w:pPr>
      <w:r w:rsidRPr="0069047D">
        <w:rPr>
          <w:rFonts w:ascii="Arial" w:hAnsi="Arial" w:cs="Arial"/>
          <w:snapToGrid/>
          <w:szCs w:val="24"/>
        </w:rPr>
        <w:t>…</w:t>
      </w:r>
    </w:p>
    <w:p w14:paraId="6EA0BD9C" w14:textId="77777777" w:rsidR="0069047D" w:rsidRPr="0069047D" w:rsidRDefault="0069047D" w:rsidP="0069047D">
      <w:pPr>
        <w:widowControl/>
        <w:rPr>
          <w:rFonts w:ascii="Arial" w:hAnsi="Arial" w:cs="Arial"/>
          <w:snapToGrid/>
          <w:szCs w:val="24"/>
        </w:rPr>
      </w:pPr>
    </w:p>
    <w:p w14:paraId="27970BC9" w14:textId="77777777" w:rsidR="0069047D" w:rsidRPr="0069047D" w:rsidRDefault="0069047D" w:rsidP="0069047D">
      <w:pPr>
        <w:spacing w:after="160" w:line="254" w:lineRule="auto"/>
        <w:rPr>
          <w:rFonts w:ascii="Arial" w:hAnsi="Arial" w:cs="Arial"/>
          <w:snapToGrid/>
          <w:color w:val="000000"/>
          <w:szCs w:val="24"/>
        </w:rPr>
      </w:pPr>
      <w:r w:rsidRPr="0069047D">
        <w:rPr>
          <w:rFonts w:ascii="Arial" w:hAnsi="Arial" w:cs="Arial"/>
          <w:b/>
          <w:bCs/>
          <w:color w:val="000000"/>
          <w:szCs w:val="24"/>
        </w:rPr>
        <w:lastRenderedPageBreak/>
        <w:t>1104.6 Applications for Human Comfort and for Nonindustrial Occupancies</w:t>
      </w:r>
      <w:r w:rsidRPr="0069047D">
        <w:rPr>
          <w:rFonts w:ascii="Arial" w:hAnsi="Arial" w:cs="Arial"/>
          <w:color w:val="000000"/>
          <w:szCs w:val="24"/>
        </w:rPr>
        <w:t>. In nonindustrial occupancies, Group A2,</w:t>
      </w:r>
      <w:r w:rsidRPr="0069047D">
        <w:rPr>
          <w:rFonts w:ascii="Arial" w:hAnsi="Arial" w:cs="Arial"/>
          <w:color w:val="000000"/>
          <w:szCs w:val="24"/>
          <w:shd w:val="clear" w:color="auto" w:fill="FFFFFF"/>
        </w:rPr>
        <w:t xml:space="preserve"> A2L,</w:t>
      </w:r>
      <w:r w:rsidRPr="0069047D">
        <w:rPr>
          <w:rFonts w:ascii="Arial" w:hAnsi="Arial" w:cs="Arial"/>
          <w:color w:val="000000"/>
          <w:szCs w:val="24"/>
        </w:rPr>
        <w:t xml:space="preserve"> A3, B1, B2L, B2, and B3 refrigerants shall not be used in high-probability systems for human comfort. </w:t>
      </w:r>
    </w:p>
    <w:p w14:paraId="68ABF4DC" w14:textId="77777777" w:rsidR="0069047D" w:rsidRPr="0069047D" w:rsidRDefault="0069047D" w:rsidP="0069047D">
      <w:pPr>
        <w:spacing w:after="160" w:line="254" w:lineRule="auto"/>
        <w:ind w:left="720"/>
        <w:rPr>
          <w:rFonts w:ascii="Arial" w:hAnsi="Arial" w:cs="Arial"/>
          <w:i/>
          <w:color w:val="000000"/>
          <w:szCs w:val="24"/>
          <w:u w:val="single"/>
        </w:rPr>
      </w:pPr>
      <w:r w:rsidRPr="0069047D">
        <w:rPr>
          <w:rFonts w:ascii="Arial" w:hAnsi="Arial" w:cs="Arial"/>
          <w:b/>
          <w:i/>
          <w:color w:val="000000"/>
          <w:szCs w:val="24"/>
          <w:u w:val="single"/>
        </w:rPr>
        <w:t>Exceptions:</w:t>
      </w:r>
      <w:r w:rsidRPr="0069047D">
        <w:rPr>
          <w:rFonts w:ascii="Arial" w:hAnsi="Arial" w:cs="Arial"/>
          <w:i/>
          <w:color w:val="000000"/>
          <w:szCs w:val="24"/>
          <w:u w:val="single"/>
        </w:rPr>
        <w:t xml:space="preserve">  </w:t>
      </w:r>
    </w:p>
    <w:p w14:paraId="27DD89C5" w14:textId="53A218D5" w:rsidR="0069047D" w:rsidRPr="0069047D" w:rsidRDefault="0069047D" w:rsidP="0069047D">
      <w:pPr>
        <w:spacing w:after="160" w:line="254" w:lineRule="auto"/>
        <w:ind w:left="1440"/>
        <w:rPr>
          <w:rFonts w:ascii="Arial" w:hAnsi="Arial" w:cs="Arial"/>
          <w:i/>
          <w:color w:val="000000"/>
          <w:szCs w:val="24"/>
          <w:u w:val="single"/>
        </w:rPr>
      </w:pPr>
      <w:r w:rsidRPr="0069047D">
        <w:rPr>
          <w:rFonts w:ascii="Arial" w:hAnsi="Arial" w:cs="Arial"/>
          <w:i/>
          <w:color w:val="000000"/>
          <w:szCs w:val="24"/>
          <w:u w:val="single"/>
        </w:rPr>
        <w:t xml:space="preserve">(1) Listed equipment, </w:t>
      </w:r>
      <w:r w:rsidR="00C93C8D">
        <w:rPr>
          <w:rFonts w:ascii="Arial" w:hAnsi="Arial" w:cs="Arial"/>
          <w:i/>
          <w:color w:val="000000"/>
          <w:szCs w:val="24"/>
          <w:u w:val="double"/>
        </w:rPr>
        <w:t xml:space="preserve">units having a factory-sealed refrigerating system, </w:t>
      </w:r>
      <w:r w:rsidRPr="0069047D">
        <w:rPr>
          <w:rFonts w:ascii="Arial" w:hAnsi="Arial" w:cs="Arial"/>
          <w:i/>
          <w:dstrike/>
          <w:color w:val="000000"/>
          <w:szCs w:val="24"/>
        </w:rPr>
        <w:t>self-contained factory sealed units</w:t>
      </w:r>
      <w:r w:rsidRPr="0069047D">
        <w:rPr>
          <w:rFonts w:ascii="Arial" w:hAnsi="Arial" w:cs="Arial"/>
          <w:i/>
          <w:color w:val="000000"/>
          <w:szCs w:val="24"/>
          <w:u w:val="single"/>
        </w:rPr>
        <w:t xml:space="preserve"> containing no more than 2.2 lbs. (1kg) of A2L refrigerant installed in accordance with the listing and the manufacturer’s installation instructions.</w:t>
      </w:r>
    </w:p>
    <w:p w14:paraId="78FB08FB" w14:textId="05002701" w:rsidR="0069047D" w:rsidRPr="0069047D" w:rsidRDefault="0069047D" w:rsidP="0069047D">
      <w:pPr>
        <w:spacing w:after="160" w:line="254" w:lineRule="auto"/>
        <w:ind w:left="1440"/>
        <w:rPr>
          <w:rFonts w:ascii="Arial" w:hAnsi="Arial" w:cs="Arial"/>
          <w:i/>
          <w:color w:val="000000"/>
          <w:szCs w:val="24"/>
          <w:u w:val="single"/>
        </w:rPr>
      </w:pPr>
      <w:r w:rsidRPr="0069047D">
        <w:rPr>
          <w:rFonts w:ascii="Arial" w:hAnsi="Arial" w:cs="Arial"/>
          <w:i/>
          <w:u w:val="single"/>
        </w:rPr>
        <w:t xml:space="preserve">(2) Listed equipment for </w:t>
      </w:r>
      <w:r w:rsidR="00DD116B">
        <w:rPr>
          <w:rFonts w:ascii="Arial" w:hAnsi="Arial" w:cs="Arial"/>
          <w:i/>
          <w:u w:val="double"/>
        </w:rPr>
        <w:t xml:space="preserve">non-residential </w:t>
      </w:r>
      <w:r w:rsidRPr="0069047D">
        <w:rPr>
          <w:rFonts w:ascii="Arial" w:hAnsi="Arial" w:cs="Arial"/>
          <w:i/>
          <w:dstrike/>
        </w:rPr>
        <w:t>commercial use</w:t>
      </w:r>
      <w:r w:rsidRPr="0069047D">
        <w:rPr>
          <w:rFonts w:ascii="Arial" w:hAnsi="Arial" w:cs="Arial"/>
          <w:i/>
          <w:u w:val="single"/>
        </w:rPr>
        <w:t xml:space="preserve"> applications </w:t>
      </w:r>
      <w:r w:rsidRPr="0069047D">
        <w:rPr>
          <w:rFonts w:ascii="Arial" w:hAnsi="Arial" w:cs="Arial"/>
          <w:i/>
          <w:dstrike/>
        </w:rPr>
        <w:t>only,</w:t>
      </w:r>
      <w:r w:rsidRPr="0069047D">
        <w:rPr>
          <w:rFonts w:ascii="Arial" w:hAnsi="Arial" w:cs="Arial"/>
          <w:i/>
          <w:u w:val="single"/>
        </w:rPr>
        <w:t xml:space="preserve"> </w:t>
      </w:r>
      <w:r w:rsidR="00C93C8D">
        <w:rPr>
          <w:rFonts w:ascii="Arial" w:hAnsi="Arial" w:cs="Arial"/>
          <w:i/>
          <w:u w:val="double"/>
        </w:rPr>
        <w:t xml:space="preserve">having a factory-sealed refrigerating system and </w:t>
      </w:r>
      <w:r w:rsidRPr="0069047D">
        <w:rPr>
          <w:rFonts w:ascii="Arial" w:hAnsi="Arial" w:cs="Arial"/>
          <w:i/>
          <w:dstrike/>
        </w:rPr>
        <w:t>self-contained factory-sealed units</w:t>
      </w:r>
      <w:r w:rsidRPr="0069047D">
        <w:rPr>
          <w:rFonts w:ascii="Arial" w:hAnsi="Arial" w:cs="Arial"/>
          <w:i/>
          <w:u w:val="single"/>
        </w:rPr>
        <w:t xml:space="preserve"> containing no more than 4 lbs. (1.8 kg) of A2L refrigerant installed in accordance with the listing and the manufacturer’s installation instructions.   </w:t>
      </w:r>
    </w:p>
    <w:p w14:paraId="0C3E8352" w14:textId="77777777" w:rsidR="00CF35CF" w:rsidRDefault="002367DC" w:rsidP="00CF35CF">
      <w:pPr>
        <w:spacing w:before="120"/>
        <w:rPr>
          <w:rFonts w:ascii="Arial" w:hAnsi="Arial" w:cs="Arial"/>
        </w:rPr>
      </w:pPr>
      <w:r w:rsidRPr="0044593B">
        <w:rPr>
          <w:rFonts w:ascii="Arial" w:hAnsi="Arial" w:cs="Arial"/>
          <w:b/>
        </w:rPr>
        <w:t>Rationale:</w:t>
      </w:r>
      <w:r w:rsidR="002D5E4A" w:rsidRPr="0044593B">
        <w:rPr>
          <w:rFonts w:ascii="Arial" w:hAnsi="Arial" w:cs="Arial"/>
        </w:rPr>
        <w:t xml:space="preserve"> </w:t>
      </w:r>
    </w:p>
    <w:p w14:paraId="287F3225" w14:textId="07A3A0DB" w:rsidR="00CF35CF" w:rsidRDefault="00CF35CF" w:rsidP="00CF35CF">
      <w:pPr>
        <w:spacing w:before="120"/>
        <w:rPr>
          <w:rFonts w:ascii="Arial" w:hAnsi="Arial" w:cs="Arial"/>
        </w:rPr>
      </w:pPr>
      <w:r>
        <w:rPr>
          <w:rFonts w:ascii="Arial" w:hAnsi="Arial" w:cs="Arial"/>
        </w:rPr>
        <w:t xml:space="preserve">The SFM received a comment from </w:t>
      </w:r>
      <w:proofErr w:type="spellStart"/>
      <w:r>
        <w:rPr>
          <w:rFonts w:ascii="Arial" w:hAnsi="Arial" w:cs="Arial"/>
        </w:rPr>
        <w:t>AHRI</w:t>
      </w:r>
      <w:proofErr w:type="spellEnd"/>
      <w:r>
        <w:rPr>
          <w:rFonts w:ascii="Arial" w:hAnsi="Arial" w:cs="Arial"/>
        </w:rPr>
        <w:t xml:space="preserve"> during 45-Day public comment period with a suggestion to make some editorial changes to Section 1104.6 Applications for human comfort and for nonindustrial occupancies. </w:t>
      </w:r>
      <w:r w:rsidR="00C4429E">
        <w:rPr>
          <w:rFonts w:ascii="Arial" w:hAnsi="Arial" w:cs="Arial"/>
        </w:rPr>
        <w:t xml:space="preserve">The new proposed language is a result of the suggestions from </w:t>
      </w:r>
      <w:proofErr w:type="spellStart"/>
      <w:r w:rsidR="00C4429E">
        <w:rPr>
          <w:rFonts w:ascii="Arial" w:hAnsi="Arial" w:cs="Arial"/>
        </w:rPr>
        <w:t>AHRI</w:t>
      </w:r>
      <w:proofErr w:type="spellEnd"/>
      <w:r w:rsidR="00C4429E">
        <w:rPr>
          <w:rFonts w:ascii="Arial" w:hAnsi="Arial" w:cs="Arial"/>
        </w:rPr>
        <w:t xml:space="preserve"> and the SFM A2L workgroup.</w:t>
      </w:r>
    </w:p>
    <w:p w14:paraId="2B5E9441" w14:textId="77777777" w:rsidR="00C4429E" w:rsidRDefault="00C4429E" w:rsidP="00CF35CF">
      <w:pPr>
        <w:spacing w:before="120"/>
        <w:rPr>
          <w:rFonts w:ascii="Arial" w:hAnsi="Arial" w:cs="Arial"/>
        </w:rPr>
      </w:pPr>
    </w:p>
    <w:p w14:paraId="7DB8D79C" w14:textId="46B90CBE" w:rsidR="00CF35CF" w:rsidRDefault="00CF35CF" w:rsidP="00CF35CF">
      <w:pPr>
        <w:spacing w:before="120"/>
        <w:rPr>
          <w:rFonts w:ascii="Arial" w:hAnsi="Arial" w:cs="Arial"/>
          <w:noProof/>
        </w:rPr>
      </w:pPr>
      <w:r w:rsidRPr="00CF35CF">
        <w:rPr>
          <w:rFonts w:ascii="Arial" w:hAnsi="Arial" w:cs="Arial"/>
          <w:noProof/>
        </w:rPr>
        <w:t>Re: AHRI Comments - COMBINED NOTICE OF 45-DAY PUBLIC COMMENT PERIOD FOR PROPOSED BUILDING STANDARDS FOR THE CALIFORNIA BUILDING STANDARDS CODE, TITLE 24 of the CALIFORNIA CODE OF REGULATIONS: Office of the State Fire Marshal - SFM 01/21 - Adopt and amend the 2022 edition of the California Mechanical Code, Part 4, Title 24</w:t>
      </w:r>
    </w:p>
    <w:p w14:paraId="442ABAB4" w14:textId="77777777" w:rsidR="00CF35CF" w:rsidRPr="00CF35CF" w:rsidRDefault="00CF35CF" w:rsidP="00CF35CF">
      <w:pPr>
        <w:spacing w:before="120"/>
        <w:rPr>
          <w:rFonts w:ascii="Arial" w:hAnsi="Arial" w:cs="Arial"/>
          <w:noProof/>
        </w:rPr>
      </w:pPr>
    </w:p>
    <w:p w14:paraId="37347B47" w14:textId="77777777" w:rsidR="00CF35CF" w:rsidRPr="00CF35CF" w:rsidRDefault="00CF35CF" w:rsidP="00CF35CF">
      <w:pPr>
        <w:spacing w:before="120"/>
        <w:rPr>
          <w:rFonts w:ascii="Arial" w:hAnsi="Arial" w:cs="Arial"/>
          <w:noProof/>
        </w:rPr>
      </w:pPr>
      <w:r w:rsidRPr="00CF35CF">
        <w:rPr>
          <w:rFonts w:ascii="Arial" w:hAnsi="Arial" w:cs="Arial"/>
          <w:noProof/>
        </w:rPr>
        <w:t>The Air Conditioning, Heating, and Refrigeration Institute (AHRI) submits this comment in response to the proposed changes to the California State Building Code by the Office of the State Fire Marshal.</w:t>
      </w:r>
    </w:p>
    <w:p w14:paraId="736A1327" w14:textId="77777777" w:rsidR="00CF35CF" w:rsidRPr="00CF35CF" w:rsidRDefault="00CF35CF" w:rsidP="00CF35CF">
      <w:pPr>
        <w:spacing w:before="120"/>
        <w:rPr>
          <w:rFonts w:ascii="Arial" w:hAnsi="Arial" w:cs="Arial"/>
          <w:noProof/>
        </w:rPr>
      </w:pPr>
    </w:p>
    <w:p w14:paraId="476DC07E" w14:textId="77777777" w:rsidR="00CF35CF" w:rsidRPr="00CF35CF" w:rsidRDefault="00CF35CF" w:rsidP="00CF35CF">
      <w:pPr>
        <w:spacing w:before="120"/>
        <w:rPr>
          <w:rFonts w:ascii="Arial" w:hAnsi="Arial" w:cs="Arial"/>
          <w:noProof/>
        </w:rPr>
      </w:pPr>
      <w:r w:rsidRPr="00CF35CF">
        <w:rPr>
          <w:rFonts w:ascii="Arial" w:hAnsi="Arial" w:cs="Arial"/>
          <w:noProof/>
        </w:rPr>
        <w:t xml:space="preserve">AHRI represents more than 300 manufacturers of air conditioning, heating, and commercial refrigeration equipment. It is an internationally recognized advocate for the heating, ventilation, air conditioning, and refrigeration (HVACR) industry and certifies the performance of many of the products manufactured by its members. Industry has been working for more than a decade to understand the safe use of next generation refrigerants spending well over $7 million on research.  </w:t>
      </w:r>
    </w:p>
    <w:p w14:paraId="587E8F64" w14:textId="23EB7B20" w:rsidR="00CF35CF" w:rsidRPr="00CF35CF" w:rsidRDefault="000874C3" w:rsidP="000874C3">
      <w:pPr>
        <w:tabs>
          <w:tab w:val="left" w:pos="7190"/>
        </w:tabs>
        <w:spacing w:before="120"/>
        <w:rPr>
          <w:rFonts w:ascii="Arial" w:hAnsi="Arial" w:cs="Arial"/>
          <w:noProof/>
        </w:rPr>
      </w:pPr>
      <w:r>
        <w:rPr>
          <w:rFonts w:ascii="Arial" w:hAnsi="Arial" w:cs="Arial"/>
          <w:noProof/>
        </w:rPr>
        <w:tab/>
      </w:r>
    </w:p>
    <w:p w14:paraId="0A4FE592" w14:textId="77777777" w:rsidR="00CF35CF" w:rsidRPr="00CF35CF" w:rsidRDefault="00CF35CF" w:rsidP="00CF35CF">
      <w:pPr>
        <w:spacing w:before="120"/>
        <w:rPr>
          <w:rFonts w:ascii="Arial" w:hAnsi="Arial" w:cs="Arial"/>
          <w:noProof/>
        </w:rPr>
      </w:pPr>
      <w:r w:rsidRPr="00CF35CF">
        <w:rPr>
          <w:rFonts w:ascii="Arial" w:hAnsi="Arial" w:cs="Arial"/>
          <w:noProof/>
        </w:rPr>
        <w:t xml:space="preserve">AHRI has worked closely with the California Air Resources Board (CARB) to find a way forward to meet California’s ambitious climate goals while ensuring that these goals result in a safe transition to next generation refrigerants. </w:t>
      </w:r>
    </w:p>
    <w:p w14:paraId="3626B748" w14:textId="77777777" w:rsidR="00CF35CF" w:rsidRPr="00CF35CF" w:rsidRDefault="00CF35CF" w:rsidP="00CF35CF">
      <w:pPr>
        <w:spacing w:before="120"/>
        <w:rPr>
          <w:rFonts w:ascii="Arial" w:hAnsi="Arial" w:cs="Arial"/>
          <w:noProof/>
        </w:rPr>
      </w:pPr>
    </w:p>
    <w:p w14:paraId="06520333" w14:textId="77F6A2D4" w:rsidR="00CF35CF" w:rsidRPr="00CF35CF" w:rsidRDefault="00CF35CF" w:rsidP="00CF35CF">
      <w:pPr>
        <w:spacing w:before="120"/>
        <w:rPr>
          <w:rFonts w:ascii="Arial" w:hAnsi="Arial" w:cs="Arial"/>
          <w:noProof/>
        </w:rPr>
      </w:pPr>
      <w:r w:rsidRPr="00CF35CF">
        <w:rPr>
          <w:rFonts w:ascii="Arial" w:hAnsi="Arial" w:cs="Arial"/>
          <w:noProof/>
        </w:rPr>
        <w:lastRenderedPageBreak/>
        <w:t xml:space="preserve">The California State Fire Marshal (SFM) has submitted a code change proposal to allow for the use of small charges of lower flammability (A2L) refrigerants in equipment that will be required to transition in 2023 per the CARB regulatory proposal approved by the Board in December 2020.  </w:t>
      </w:r>
    </w:p>
    <w:p w14:paraId="13517E4B" w14:textId="77777777" w:rsidR="00CF35CF" w:rsidRPr="00CF35CF" w:rsidRDefault="00CF35CF" w:rsidP="00CF35CF">
      <w:pPr>
        <w:spacing w:before="120"/>
        <w:rPr>
          <w:rFonts w:ascii="Arial" w:hAnsi="Arial" w:cs="Arial"/>
          <w:noProof/>
        </w:rPr>
      </w:pPr>
    </w:p>
    <w:p w14:paraId="41D9D4F8" w14:textId="49173376" w:rsidR="00CF35CF" w:rsidRDefault="00CF35CF" w:rsidP="00CF35CF">
      <w:pPr>
        <w:spacing w:before="120"/>
        <w:rPr>
          <w:rFonts w:ascii="Arial" w:hAnsi="Arial" w:cs="Arial"/>
          <w:noProof/>
        </w:rPr>
      </w:pPr>
      <w:r w:rsidRPr="00CF35CF">
        <w:rPr>
          <w:rFonts w:ascii="Arial" w:hAnsi="Arial" w:cs="Arial"/>
          <w:noProof/>
        </w:rPr>
        <w:t>However, there are some issues with the SFM proposed language that can easily be addressed with minor edits to the language proposed to  further limit the refrigerant charge size for residential occupancies and to exclude the installation of field charged equipment while still allowing compliance with CARB’s required transitions.</w:t>
      </w:r>
      <w:r w:rsidRPr="00CF35CF">
        <w:rPr>
          <w:rFonts w:ascii="Arial" w:hAnsi="Arial" w:cs="Arial"/>
          <w:noProof/>
          <w:highlight w:val="lightGray"/>
        </w:rPr>
        <w:t xml:space="preserve"> </w:t>
      </w:r>
    </w:p>
    <w:p w14:paraId="1998962A" w14:textId="77777777" w:rsidR="00CF35CF" w:rsidRDefault="00CF35CF" w:rsidP="00CF35CF">
      <w:pPr>
        <w:spacing w:before="120"/>
        <w:rPr>
          <w:rFonts w:ascii="Arial" w:hAnsi="Arial" w:cs="Arial"/>
          <w:noProof/>
        </w:rPr>
      </w:pPr>
    </w:p>
    <w:p w14:paraId="7C543303" w14:textId="5CCC02E9" w:rsidR="00CF35CF" w:rsidRPr="00CF35CF" w:rsidRDefault="00CF35CF" w:rsidP="00CF35CF">
      <w:pPr>
        <w:spacing w:before="120"/>
        <w:rPr>
          <w:rFonts w:ascii="Arial" w:hAnsi="Arial" w:cs="Arial"/>
          <w:noProof/>
          <w:highlight w:val="lightGray"/>
        </w:rPr>
      </w:pPr>
      <w:r w:rsidRPr="00CF35CF">
        <w:rPr>
          <w:rFonts w:ascii="Arial" w:hAnsi="Arial" w:cs="Arial"/>
          <w:b/>
          <w:bCs/>
        </w:rPr>
        <w:t>The California Air Resources Board (CARB) Proposal Approved by the Board in December 2020:</w:t>
      </w:r>
    </w:p>
    <w:p w14:paraId="45360010" w14:textId="0055EA26" w:rsidR="00CF35CF" w:rsidRPr="00CF35CF" w:rsidRDefault="00CF35CF" w:rsidP="00CF35CF">
      <w:pPr>
        <w:spacing w:before="120"/>
        <w:rPr>
          <w:rFonts w:ascii="Arial" w:hAnsi="Arial" w:cs="Arial"/>
        </w:rPr>
      </w:pPr>
      <w:r w:rsidRPr="00CF35CF">
        <w:rPr>
          <w:rFonts w:ascii="Arial" w:hAnsi="Arial" w:cs="Arial"/>
          <w:noProof/>
        </w:rPr>
        <w:drawing>
          <wp:inline distT="0" distB="0" distL="0" distR="0" wp14:anchorId="354A3EB3" wp14:editId="5B61A52A">
            <wp:extent cx="4324350" cy="1924050"/>
            <wp:effectExtent l="0" t="0" r="0" b="0"/>
            <wp:docPr id="2" name="Picture 2" descr="Table 3: End use and Prohibited Substances&#10;Table with four columns and three rows. Row one is the Header row. Row two indicates that these are for Air conditioning Equipment, Stationary. Row three, column one General end use is Air conditioning equipment; Column two Specific end use is Room/wall/window air conditioning equipment, PTACs, PTHPs, portable air conditioning equipment and residential dehumidifiers (new); column three Prohibited substances is refrigerants with a GWP of 750 or greater; Column four Effective date is prohibited as of January 1, 2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3: End use and Prohibited Substances&#10;Table with four columns and three rows. Row one is the Header row. Row two indicates that these are for Air conditioning Equipment, Stationary. Row three, column one General end use is Air conditioning equipment; Column two Specific end use is Room/wall/window air conditioning equipment, PTACs, PTHPs, portable air conditioning equipment and residential dehumidifiers (new); column three Prohibited substances is refrigerants with a GWP of 750 or greater; Column four Effective date is prohibited as of January 1, 2023.&#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324350" cy="1924050"/>
                    </a:xfrm>
                    <a:prstGeom prst="rect">
                      <a:avLst/>
                    </a:prstGeom>
                    <a:noFill/>
                    <a:ln>
                      <a:noFill/>
                    </a:ln>
                  </pic:spPr>
                </pic:pic>
              </a:graphicData>
            </a:graphic>
          </wp:inline>
        </w:drawing>
      </w:r>
    </w:p>
    <w:p w14:paraId="67224A57" w14:textId="246B08B7" w:rsidR="00CF35CF" w:rsidRPr="00CF35CF" w:rsidRDefault="00CF35CF" w:rsidP="00CF35CF">
      <w:pPr>
        <w:spacing w:before="120"/>
        <w:rPr>
          <w:rFonts w:ascii="Arial" w:hAnsi="Arial" w:cs="Arial"/>
          <w:i/>
          <w:iCs/>
        </w:rPr>
      </w:pPr>
      <w:r w:rsidRPr="00CF35CF">
        <w:rPr>
          <w:rFonts w:ascii="Arial" w:hAnsi="Arial" w:cs="Arial"/>
        </w:rPr>
        <w:t>The 2021 Uniform Mechanical Code (</w:t>
      </w:r>
      <w:proofErr w:type="spellStart"/>
      <w:r w:rsidRPr="00CF35CF">
        <w:rPr>
          <w:rFonts w:ascii="Arial" w:hAnsi="Arial" w:cs="Arial"/>
        </w:rPr>
        <w:t>UMC</w:t>
      </w:r>
      <w:proofErr w:type="spellEnd"/>
      <w:r w:rsidRPr="00CF35CF">
        <w:rPr>
          <w:rFonts w:ascii="Arial" w:hAnsi="Arial" w:cs="Arial"/>
        </w:rPr>
        <w:t xml:space="preserve">) defines “self-contained” as </w:t>
      </w:r>
      <w:r w:rsidRPr="00CF35CF">
        <w:rPr>
          <w:rFonts w:ascii="Arial" w:hAnsi="Arial" w:cs="Arial"/>
          <w:i/>
          <w:iCs/>
        </w:rPr>
        <w:t>“having all essential working parts, except energy and control connections, so contained in a case or framework that they do not depend on appliances or fastenings outside of the machine.”</w:t>
      </w:r>
    </w:p>
    <w:p w14:paraId="0617A514" w14:textId="77777777" w:rsidR="00C4429E" w:rsidRDefault="00C4429E" w:rsidP="00CF35CF">
      <w:pPr>
        <w:spacing w:before="120"/>
        <w:rPr>
          <w:rFonts w:ascii="Arial" w:hAnsi="Arial" w:cs="Arial"/>
        </w:rPr>
      </w:pPr>
    </w:p>
    <w:p w14:paraId="0685532B" w14:textId="72ED3991" w:rsidR="00CF35CF" w:rsidRPr="00C4429E" w:rsidRDefault="00CF35CF" w:rsidP="00C4429E">
      <w:pPr>
        <w:spacing w:before="120"/>
        <w:rPr>
          <w:rFonts w:ascii="Arial" w:hAnsi="Arial" w:cs="Arial"/>
        </w:rPr>
      </w:pPr>
      <w:r w:rsidRPr="00CF35CF">
        <w:rPr>
          <w:rFonts w:ascii="Arial" w:hAnsi="Arial" w:cs="Arial"/>
        </w:rPr>
        <w:t xml:space="preserve">Some “factory-sealed” packaged terminal air conditioners (PTACs) and portable air conditioners are designed to be used with duct work and would not comport with the 2021 </w:t>
      </w:r>
      <w:proofErr w:type="spellStart"/>
      <w:r w:rsidRPr="00CF35CF">
        <w:rPr>
          <w:rFonts w:ascii="Arial" w:hAnsi="Arial" w:cs="Arial"/>
        </w:rPr>
        <w:t>UMC</w:t>
      </w:r>
      <w:proofErr w:type="spellEnd"/>
      <w:r w:rsidRPr="00CF35CF">
        <w:rPr>
          <w:rFonts w:ascii="Arial" w:hAnsi="Arial" w:cs="Arial"/>
        </w:rPr>
        <w:t xml:space="preserve"> definition of “self-contained.” This includes equipment required to transition in 2023 by the California Air Resources Board to low global warming potential (GWP) refrigerants. </w:t>
      </w:r>
      <w:r w:rsidRPr="00C4429E">
        <w:t xml:space="preserve">Secondly, the term “factory-sealed refrigerating system” could be used as alternative language for “self-contained factory sealed units”. </w:t>
      </w:r>
    </w:p>
    <w:p w14:paraId="4AA5903E" w14:textId="77777777" w:rsidR="00CF35CF" w:rsidRDefault="00CF35CF" w:rsidP="00023B9A">
      <w:pPr>
        <w:spacing w:before="120"/>
      </w:pPr>
    </w:p>
    <w:p w14:paraId="00B06F57" w14:textId="2F876ECC" w:rsidR="002367DC" w:rsidRPr="0044593B" w:rsidRDefault="00CF35CF" w:rsidP="00023B9A">
      <w:pPr>
        <w:spacing w:before="120"/>
        <w:rPr>
          <w:rFonts w:ascii="Arial" w:hAnsi="Arial" w:cs="Arial"/>
        </w:rPr>
      </w:pPr>
      <w:proofErr w:type="spellStart"/>
      <w:r>
        <w:t>AHRI</w:t>
      </w:r>
      <w:proofErr w:type="spellEnd"/>
      <w:r>
        <w:t xml:space="preserve"> appreciates the opportunity to comment on the proposed building code modification made by SFM and would be happy to provide additional information as needed.</w:t>
      </w:r>
    </w:p>
    <w:p w14:paraId="40E4D45F" w14:textId="77777777" w:rsidR="00C4429E" w:rsidRDefault="00C4429E" w:rsidP="00C4429E">
      <w:pPr>
        <w:spacing w:before="120"/>
        <w:rPr>
          <w:rFonts w:ascii="Arial" w:hAnsi="Arial" w:cs="Arial"/>
          <w:b/>
        </w:rPr>
      </w:pPr>
    </w:p>
    <w:p w14:paraId="1B28FA82" w14:textId="599193ED" w:rsidR="00C4429E" w:rsidRPr="00AD67B3" w:rsidRDefault="00C4429E" w:rsidP="00C4429E">
      <w:pPr>
        <w:spacing w:before="120"/>
        <w:rPr>
          <w:rFonts w:ascii="Arial" w:hAnsi="Arial" w:cs="Arial"/>
        </w:rPr>
      </w:pPr>
      <w:r w:rsidRPr="00AD67B3">
        <w:rPr>
          <w:rFonts w:ascii="Arial" w:hAnsi="Arial" w:cs="Arial"/>
          <w:b/>
        </w:rPr>
        <w:t>Notation:</w:t>
      </w:r>
    </w:p>
    <w:p w14:paraId="0E1F0C2B" w14:textId="77777777" w:rsidR="00C4429E" w:rsidRPr="00AD67B3" w:rsidRDefault="00C4429E" w:rsidP="00C4429E">
      <w:pPr>
        <w:spacing w:before="120"/>
        <w:rPr>
          <w:rFonts w:ascii="Arial" w:hAnsi="Arial" w:cs="Arial"/>
        </w:rPr>
      </w:pPr>
      <w:r w:rsidRPr="00AD67B3">
        <w:rPr>
          <w:rFonts w:ascii="Arial" w:hAnsi="Arial" w:cs="Arial"/>
        </w:rPr>
        <w:t>Authority:</w:t>
      </w:r>
      <w:r w:rsidRPr="005E2C0D">
        <w:rPr>
          <w:rFonts w:ascii="Arial" w:hAnsi="Arial" w:cs="Arial"/>
          <w:szCs w:val="24"/>
        </w:rPr>
        <w:t xml:space="preserve"> </w:t>
      </w:r>
      <w:r w:rsidRPr="005E2C0D">
        <w:rPr>
          <w:rFonts w:ascii="Arial" w:hAnsi="Arial" w:cs="Arial"/>
          <w:bCs/>
          <w:szCs w:val="24"/>
        </w:rPr>
        <w:t xml:space="preserve">Health and Safety Code Sections 1250, 1569.72, 1569.78, 1568.02, 1502, 1597.44, 1597.45, 1597.46, 1597.54, 1597.65, 13108, 13108.5, 13114, 13143, 13143.2, </w:t>
      </w:r>
      <w:r w:rsidRPr="005E2C0D">
        <w:rPr>
          <w:rFonts w:ascii="Arial" w:hAnsi="Arial" w:cs="Arial"/>
          <w:bCs/>
          <w:szCs w:val="24"/>
        </w:rPr>
        <w:lastRenderedPageBreak/>
        <w:t>13143.6, 13146, 13210, 13211, 17921, 18949.2, 25500 through 25545, Government Code Section 51189, Public Education Code 17074.50</w:t>
      </w:r>
    </w:p>
    <w:p w14:paraId="58229746" w14:textId="77777777" w:rsidR="00C4429E" w:rsidRPr="001238D0" w:rsidRDefault="00C4429E" w:rsidP="00C4429E">
      <w:pPr>
        <w:spacing w:before="120"/>
        <w:rPr>
          <w:rFonts w:ascii="Arial" w:hAnsi="Arial" w:cs="Arial"/>
        </w:rPr>
      </w:pPr>
      <w:r w:rsidRPr="00AD67B3">
        <w:rPr>
          <w:rFonts w:ascii="Arial" w:hAnsi="Arial" w:cs="Arial"/>
        </w:rPr>
        <w:t xml:space="preserve">Reference(s): </w:t>
      </w:r>
      <w:r w:rsidRPr="005E2C0D">
        <w:rPr>
          <w:rFonts w:ascii="Arial" w:hAnsi="Arial" w:cs="Arial"/>
          <w:bCs/>
          <w:szCs w:val="24"/>
        </w:rPr>
        <w:t>Health and Safety Code Sections 13143, 13211, 18949.2, 25500 through 25545, Government Code Sections 51176, 51177, 51178 and 51179, Public Resources Code Sections 4201 through 4204</w:t>
      </w:r>
    </w:p>
    <w:p w14:paraId="08024AE9" w14:textId="77777777" w:rsidR="00391B17" w:rsidRPr="0044593B" w:rsidRDefault="00391B17" w:rsidP="00767766">
      <w:pPr>
        <w:spacing w:before="120"/>
        <w:rPr>
          <w:rFonts w:ascii="Arial" w:hAnsi="Arial" w:cs="Arial"/>
        </w:rPr>
      </w:pPr>
    </w:p>
    <w:sectPr w:rsidR="00391B17" w:rsidRPr="0044593B" w:rsidSect="007C04EF">
      <w:headerReference w:type="default" r:id="rId10"/>
      <w:footerReference w:type="default" r:id="rId1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EC2C" w14:textId="77777777" w:rsidR="00940A1F" w:rsidRDefault="00940A1F">
      <w:r>
        <w:separator/>
      </w:r>
    </w:p>
  </w:endnote>
  <w:endnote w:type="continuationSeparator" w:id="0">
    <w:p w14:paraId="7B7781D2" w14:textId="77777777" w:rsidR="00940A1F" w:rsidRDefault="0094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17382343" w:rsidR="001A4A03" w:rsidRPr="001A6436" w:rsidRDefault="001A4A03" w:rsidP="007C04EF">
    <w:pPr>
      <w:pStyle w:val="Footer"/>
      <w:tabs>
        <w:tab w:val="clear" w:pos="4320"/>
        <w:tab w:val="clear" w:pos="8640"/>
        <w:tab w:val="right" w:pos="9180"/>
      </w:tabs>
      <w:rPr>
        <w:rFonts w:ascii="Arial" w:hAnsi="Arial" w:cs="Arial"/>
        <w:sz w:val="16"/>
      </w:rPr>
    </w:pPr>
    <w:bookmarkStart w:id="1" w:name="_Hlk78196461"/>
    <w:r w:rsidRPr="001A6436">
      <w:rPr>
        <w:rFonts w:ascii="Arial" w:hAnsi="Arial" w:cs="Arial"/>
        <w:sz w:val="16"/>
      </w:rPr>
      <w:t xml:space="preserve">BSC TP-104 (Rev. </w:t>
    </w:r>
    <w:r w:rsidR="00BF3E81" w:rsidRPr="001A6436">
      <w:rPr>
        <w:rFonts w:ascii="Arial" w:hAnsi="Arial" w:cs="Arial"/>
        <w:sz w:val="16"/>
      </w:rPr>
      <w:t>10</w:t>
    </w:r>
    <w:r w:rsidRPr="001A6436">
      <w:rPr>
        <w:rFonts w:ascii="Arial" w:hAnsi="Arial" w:cs="Arial"/>
        <w:sz w:val="16"/>
      </w:rPr>
      <w:t>/</w:t>
    </w:r>
    <w:r w:rsidR="001D6710" w:rsidRPr="001A6436">
      <w:rPr>
        <w:rFonts w:ascii="Arial" w:hAnsi="Arial" w:cs="Arial"/>
        <w:sz w:val="16"/>
      </w:rPr>
      <w:t>20</w:t>
    </w:r>
    <w:r w:rsidRPr="001A6436">
      <w:rPr>
        <w:rFonts w:ascii="Arial" w:hAnsi="Arial" w:cs="Arial"/>
        <w:sz w:val="16"/>
      </w:rPr>
      <w:t>)</w:t>
    </w:r>
    <w:r w:rsidR="00EC0A76" w:rsidRPr="001A6436">
      <w:rPr>
        <w:rFonts w:ascii="Arial" w:hAnsi="Arial" w:cs="Arial"/>
        <w:sz w:val="16"/>
      </w:rPr>
      <w:t xml:space="preserve"> Additional</w:t>
    </w:r>
    <w:r w:rsidR="00CD0032" w:rsidRPr="001A6436">
      <w:rPr>
        <w:rFonts w:ascii="Arial" w:hAnsi="Arial" w:cs="Arial"/>
        <w:sz w:val="16"/>
      </w:rPr>
      <w:t xml:space="preserve"> 15-</w:t>
    </w:r>
    <w:r w:rsidRPr="001A6436">
      <w:rPr>
        <w:rFonts w:ascii="Arial" w:hAnsi="Arial" w:cs="Arial"/>
        <w:sz w:val="16"/>
      </w:rPr>
      <w:t>Day Express Terms</w:t>
    </w:r>
    <w:r w:rsidRPr="001A6436">
      <w:rPr>
        <w:rFonts w:ascii="Arial" w:hAnsi="Arial" w:cs="Arial"/>
        <w:sz w:val="16"/>
      </w:rPr>
      <w:tab/>
    </w:r>
    <w:r w:rsidR="00CD0032" w:rsidRPr="001A6436">
      <w:rPr>
        <w:rFonts w:ascii="Arial" w:hAnsi="Arial" w:cs="Arial"/>
        <w:sz w:val="16"/>
      </w:rPr>
      <w:t>July 23, 2021</w:t>
    </w:r>
  </w:p>
  <w:p w14:paraId="723451C6" w14:textId="69820CE0" w:rsidR="001A4A03" w:rsidRPr="001A6436" w:rsidRDefault="001A4A03" w:rsidP="007C04EF">
    <w:pPr>
      <w:pStyle w:val="Footer"/>
      <w:tabs>
        <w:tab w:val="clear" w:pos="4320"/>
        <w:tab w:val="clear" w:pos="8640"/>
        <w:tab w:val="center" w:pos="5040"/>
        <w:tab w:val="right" w:pos="9180"/>
      </w:tabs>
      <w:rPr>
        <w:rFonts w:ascii="Arial" w:hAnsi="Arial" w:cs="Arial"/>
        <w:sz w:val="16"/>
        <w:szCs w:val="16"/>
      </w:rPr>
    </w:pPr>
    <w:r w:rsidRPr="001A6436">
      <w:rPr>
        <w:rFonts w:ascii="Arial" w:hAnsi="Arial" w:cs="Arial"/>
        <w:sz w:val="16"/>
        <w:szCs w:val="16"/>
      </w:rPr>
      <w:t xml:space="preserve">Rulemaking </w:t>
    </w:r>
    <w:r w:rsidR="000F6D3A" w:rsidRPr="001A6436">
      <w:rPr>
        <w:rFonts w:ascii="Arial" w:hAnsi="Arial" w:cs="Arial"/>
        <w:sz w:val="16"/>
        <w:szCs w:val="16"/>
      </w:rPr>
      <w:t>File</w:t>
    </w:r>
    <w:r w:rsidR="00CD0032" w:rsidRPr="001A6436">
      <w:rPr>
        <w:rFonts w:ascii="Arial" w:hAnsi="Arial" w:cs="Arial"/>
        <w:sz w:val="16"/>
        <w:szCs w:val="16"/>
      </w:rPr>
      <w:t xml:space="preserve"> SFM 01-21</w:t>
    </w:r>
    <w:r w:rsidRPr="001A6436">
      <w:rPr>
        <w:rFonts w:ascii="Arial" w:hAnsi="Arial" w:cs="Arial"/>
        <w:sz w:val="16"/>
        <w:szCs w:val="16"/>
      </w:rPr>
      <w:t xml:space="preserve"> - Part </w:t>
    </w:r>
    <w:r w:rsidR="00CD0032" w:rsidRPr="001A6436">
      <w:rPr>
        <w:rFonts w:ascii="Arial" w:hAnsi="Arial" w:cs="Arial"/>
        <w:sz w:val="16"/>
        <w:szCs w:val="16"/>
      </w:rPr>
      <w:t>4</w:t>
    </w:r>
    <w:r w:rsidRPr="001A6436">
      <w:rPr>
        <w:rFonts w:ascii="Arial" w:hAnsi="Arial" w:cs="Arial"/>
        <w:sz w:val="16"/>
        <w:szCs w:val="16"/>
      </w:rPr>
      <w:t xml:space="preserve">- </w:t>
    </w:r>
    <w:r w:rsidR="001A6436" w:rsidRPr="001A6436">
      <w:rPr>
        <w:rFonts w:ascii="Arial" w:hAnsi="Arial" w:cs="Arial"/>
        <w:sz w:val="16"/>
        <w:szCs w:val="16"/>
      </w:rPr>
      <w:t>2021 Triennial C</w:t>
    </w:r>
    <w:r w:rsidRPr="001A6436">
      <w:rPr>
        <w:rFonts w:ascii="Arial" w:hAnsi="Arial" w:cs="Arial"/>
        <w:sz w:val="16"/>
        <w:szCs w:val="16"/>
      </w:rPr>
      <w:t>ode Cycle</w:t>
    </w:r>
    <w:r w:rsidRPr="001A6436">
      <w:rPr>
        <w:rFonts w:ascii="Arial" w:hAnsi="Arial" w:cs="Arial"/>
        <w:sz w:val="16"/>
        <w:szCs w:val="16"/>
      </w:rPr>
      <w:tab/>
    </w:r>
    <w:r w:rsidRPr="001A6436">
      <w:rPr>
        <w:rFonts w:ascii="Arial" w:hAnsi="Arial" w:cs="Arial"/>
        <w:sz w:val="16"/>
        <w:szCs w:val="16"/>
      </w:rPr>
      <w:tab/>
    </w:r>
    <w:r w:rsidR="001A6436" w:rsidRPr="001A6436">
      <w:rPr>
        <w:rFonts w:ascii="Arial" w:eastAsia="Calibri" w:hAnsi="Arial" w:cs="Arial"/>
        <w:snapToGrid/>
        <w:sz w:val="16"/>
        <w:szCs w:val="16"/>
      </w:rPr>
      <w:t>Pt 4 15-Day public comment</w:t>
    </w:r>
    <w:r w:rsidR="001A6436" w:rsidRPr="001A6436">
      <w:rPr>
        <w:rFonts w:ascii="Arial" w:hAnsi="Arial" w:cs="Arial"/>
        <w:sz w:val="16"/>
        <w:szCs w:val="16"/>
        <w:shd w:val="clear" w:color="auto" w:fill="D9D9D9"/>
      </w:rPr>
      <w:t xml:space="preserve"> </w:t>
    </w:r>
  </w:p>
  <w:bookmarkEnd w:id="1"/>
  <w:p w14:paraId="57C7ED1A" w14:textId="17306A3C" w:rsidR="003063A1" w:rsidRPr="003063A1" w:rsidRDefault="003063A1" w:rsidP="003063A1">
    <w:pPr>
      <w:rPr>
        <w:rFonts w:ascii="Arial" w:eastAsia="Calibri" w:hAnsi="Arial" w:cs="Arial"/>
        <w:snapToGrid/>
        <w:sz w:val="16"/>
        <w:szCs w:val="16"/>
      </w:rPr>
    </w:pPr>
    <w:r w:rsidRPr="001A6436">
      <w:rPr>
        <w:rFonts w:ascii="Arial" w:eastAsia="Calibri" w:hAnsi="Arial" w:cs="Arial"/>
        <w:snapToGrid/>
        <w:sz w:val="16"/>
        <w:szCs w:val="16"/>
      </w:rPr>
      <w:t>Office of the State Fire Marshal</w:t>
    </w:r>
  </w:p>
  <w:p w14:paraId="5C321276" w14:textId="2BDFF116" w:rsidR="001A4A03" w:rsidRDefault="000F6D3A" w:rsidP="007C04EF">
    <w:pPr>
      <w:pStyle w:val="Footer"/>
      <w:tabs>
        <w:tab w:val="clear" w:pos="4320"/>
        <w:tab w:val="clear" w:pos="8640"/>
        <w:tab w:val="center" w:pos="4896"/>
        <w:tab w:val="right" w:pos="9180"/>
      </w:tabs>
      <w:rPr>
        <w:sz w:val="16"/>
      </w:rPr>
    </w:pPr>
    <w:r w:rsidRPr="00CD0032">
      <w:rPr>
        <w:sz w:val="16"/>
      </w:rPr>
      <w:tab/>
    </w:r>
    <w:r w:rsidRPr="00CD0032">
      <w:rPr>
        <w:rStyle w:val="PageNumber"/>
        <w:rFonts w:ascii="Arial" w:hAnsi="Arial" w:cs="Arial"/>
        <w:sz w:val="16"/>
      </w:rPr>
      <w:t xml:space="preserve">Page </w:t>
    </w:r>
    <w:r w:rsidRPr="00CD0032">
      <w:rPr>
        <w:rStyle w:val="PageNumber"/>
        <w:rFonts w:ascii="Arial" w:hAnsi="Arial" w:cs="Arial"/>
        <w:sz w:val="16"/>
      </w:rPr>
      <w:fldChar w:fldCharType="begin"/>
    </w:r>
    <w:r w:rsidRPr="00CD0032">
      <w:rPr>
        <w:rStyle w:val="PageNumber"/>
        <w:rFonts w:ascii="Arial" w:hAnsi="Arial" w:cs="Arial"/>
        <w:sz w:val="16"/>
      </w:rPr>
      <w:instrText xml:space="preserve"> PAGE </w:instrText>
    </w:r>
    <w:r w:rsidRPr="00CD0032">
      <w:rPr>
        <w:rStyle w:val="PageNumber"/>
        <w:rFonts w:ascii="Arial" w:hAnsi="Arial" w:cs="Arial"/>
        <w:sz w:val="16"/>
      </w:rPr>
      <w:fldChar w:fldCharType="separate"/>
    </w:r>
    <w:r w:rsidRPr="00CD0032">
      <w:rPr>
        <w:rStyle w:val="PageNumber"/>
        <w:rFonts w:ascii="Arial" w:hAnsi="Arial" w:cs="Arial"/>
        <w:sz w:val="16"/>
      </w:rPr>
      <w:t>1</w:t>
    </w:r>
    <w:r w:rsidRPr="00CD0032">
      <w:rPr>
        <w:rStyle w:val="PageNumber"/>
        <w:rFonts w:ascii="Arial" w:hAnsi="Arial" w:cs="Arial"/>
        <w:sz w:val="16"/>
      </w:rPr>
      <w:fldChar w:fldCharType="end"/>
    </w:r>
    <w:r w:rsidRPr="00CD0032">
      <w:rPr>
        <w:rStyle w:val="PageNumber"/>
        <w:rFonts w:ascii="Arial" w:hAnsi="Arial" w:cs="Arial"/>
        <w:sz w:val="16"/>
      </w:rPr>
      <w:t xml:space="preserve"> of </w:t>
    </w:r>
    <w:r w:rsidRPr="00CD0032">
      <w:rPr>
        <w:rStyle w:val="PageNumber"/>
        <w:rFonts w:ascii="Arial" w:hAnsi="Arial" w:cs="Arial"/>
        <w:sz w:val="16"/>
      </w:rPr>
      <w:fldChar w:fldCharType="begin"/>
    </w:r>
    <w:r w:rsidRPr="00CD0032">
      <w:rPr>
        <w:rStyle w:val="PageNumber"/>
        <w:rFonts w:ascii="Arial" w:hAnsi="Arial" w:cs="Arial"/>
        <w:sz w:val="16"/>
      </w:rPr>
      <w:instrText xml:space="preserve"> NUMPAGES </w:instrText>
    </w:r>
    <w:r w:rsidRPr="00CD0032">
      <w:rPr>
        <w:rStyle w:val="PageNumber"/>
        <w:rFonts w:ascii="Arial" w:hAnsi="Arial" w:cs="Arial"/>
        <w:sz w:val="16"/>
      </w:rPr>
      <w:fldChar w:fldCharType="separate"/>
    </w:r>
    <w:r w:rsidRPr="00CD0032">
      <w:rPr>
        <w:rStyle w:val="PageNumber"/>
        <w:rFonts w:ascii="Arial" w:hAnsi="Arial" w:cs="Arial"/>
        <w:sz w:val="16"/>
      </w:rPr>
      <w:t>2</w:t>
    </w:r>
    <w:r w:rsidRPr="00CD0032">
      <w:rPr>
        <w:rStyle w:val="PageNumber"/>
        <w:rFonts w:ascii="Arial" w:hAnsi="Arial"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8031" w14:textId="77777777" w:rsidR="00940A1F" w:rsidRDefault="00940A1F">
      <w:r>
        <w:separator/>
      </w:r>
    </w:p>
  </w:footnote>
  <w:footnote w:type="continuationSeparator" w:id="0">
    <w:p w14:paraId="28E8CE4D" w14:textId="77777777" w:rsidR="00940A1F" w:rsidRDefault="00940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874C3"/>
    <w:rsid w:val="000B33E0"/>
    <w:rsid w:val="000C5682"/>
    <w:rsid w:val="000E24B4"/>
    <w:rsid w:val="000F2EEE"/>
    <w:rsid w:val="000F6D3A"/>
    <w:rsid w:val="00123F82"/>
    <w:rsid w:val="001362F4"/>
    <w:rsid w:val="0017531B"/>
    <w:rsid w:val="00175449"/>
    <w:rsid w:val="001845B6"/>
    <w:rsid w:val="001A4A03"/>
    <w:rsid w:val="001A6436"/>
    <w:rsid w:val="001D5566"/>
    <w:rsid w:val="001D6710"/>
    <w:rsid w:val="001E635B"/>
    <w:rsid w:val="00234A84"/>
    <w:rsid w:val="00235B37"/>
    <w:rsid w:val="002367DC"/>
    <w:rsid w:val="00245903"/>
    <w:rsid w:val="002A0905"/>
    <w:rsid w:val="002D3F86"/>
    <w:rsid w:val="002D5E4A"/>
    <w:rsid w:val="002F1CA6"/>
    <w:rsid w:val="002F334A"/>
    <w:rsid w:val="0030639B"/>
    <w:rsid w:val="003063A1"/>
    <w:rsid w:val="003324BE"/>
    <w:rsid w:val="00332CE8"/>
    <w:rsid w:val="003709C8"/>
    <w:rsid w:val="0037506B"/>
    <w:rsid w:val="00391B17"/>
    <w:rsid w:val="003942B6"/>
    <w:rsid w:val="003D46A3"/>
    <w:rsid w:val="003E1AB0"/>
    <w:rsid w:val="00433E49"/>
    <w:rsid w:val="0044593B"/>
    <w:rsid w:val="00473185"/>
    <w:rsid w:val="004B2AB9"/>
    <w:rsid w:val="004B48D5"/>
    <w:rsid w:val="004C48A0"/>
    <w:rsid w:val="00563190"/>
    <w:rsid w:val="005B5184"/>
    <w:rsid w:val="005D2DCC"/>
    <w:rsid w:val="005E162F"/>
    <w:rsid w:val="005E7B4B"/>
    <w:rsid w:val="005F1F14"/>
    <w:rsid w:val="005F696F"/>
    <w:rsid w:val="0061175B"/>
    <w:rsid w:val="006169B9"/>
    <w:rsid w:val="00631F79"/>
    <w:rsid w:val="006721FC"/>
    <w:rsid w:val="00675E1D"/>
    <w:rsid w:val="0069047D"/>
    <w:rsid w:val="006A3EB0"/>
    <w:rsid w:val="006B747C"/>
    <w:rsid w:val="00767766"/>
    <w:rsid w:val="00776FA8"/>
    <w:rsid w:val="00786248"/>
    <w:rsid w:val="007915D5"/>
    <w:rsid w:val="007A674B"/>
    <w:rsid w:val="007C04EF"/>
    <w:rsid w:val="007C4832"/>
    <w:rsid w:val="007E6A6C"/>
    <w:rsid w:val="0081299A"/>
    <w:rsid w:val="00862625"/>
    <w:rsid w:val="00874876"/>
    <w:rsid w:val="008A2AC5"/>
    <w:rsid w:val="008A3DD5"/>
    <w:rsid w:val="008A63C7"/>
    <w:rsid w:val="008E36A8"/>
    <w:rsid w:val="00923E68"/>
    <w:rsid w:val="00926738"/>
    <w:rsid w:val="0092735E"/>
    <w:rsid w:val="00933897"/>
    <w:rsid w:val="00940A1F"/>
    <w:rsid w:val="009462E9"/>
    <w:rsid w:val="00995899"/>
    <w:rsid w:val="009A693A"/>
    <w:rsid w:val="009D10AD"/>
    <w:rsid w:val="009E0E79"/>
    <w:rsid w:val="009E6B12"/>
    <w:rsid w:val="00A07EE6"/>
    <w:rsid w:val="00A138AA"/>
    <w:rsid w:val="00A60CA1"/>
    <w:rsid w:val="00A63EF9"/>
    <w:rsid w:val="00A701DE"/>
    <w:rsid w:val="00A813A1"/>
    <w:rsid w:val="00AC1F10"/>
    <w:rsid w:val="00AF4D10"/>
    <w:rsid w:val="00AF4E96"/>
    <w:rsid w:val="00B12576"/>
    <w:rsid w:val="00B435D5"/>
    <w:rsid w:val="00B53C67"/>
    <w:rsid w:val="00BF3E81"/>
    <w:rsid w:val="00C36475"/>
    <w:rsid w:val="00C4429E"/>
    <w:rsid w:val="00C44C36"/>
    <w:rsid w:val="00C6643B"/>
    <w:rsid w:val="00C67B72"/>
    <w:rsid w:val="00C93C8D"/>
    <w:rsid w:val="00CA7A9C"/>
    <w:rsid w:val="00CB69CE"/>
    <w:rsid w:val="00CD0032"/>
    <w:rsid w:val="00CE1C46"/>
    <w:rsid w:val="00CF2161"/>
    <w:rsid w:val="00CF3372"/>
    <w:rsid w:val="00CF35CF"/>
    <w:rsid w:val="00D04B58"/>
    <w:rsid w:val="00D13D82"/>
    <w:rsid w:val="00D30882"/>
    <w:rsid w:val="00D67CC8"/>
    <w:rsid w:val="00D91AE2"/>
    <w:rsid w:val="00DB2E73"/>
    <w:rsid w:val="00DD116B"/>
    <w:rsid w:val="00DD1947"/>
    <w:rsid w:val="00E016BA"/>
    <w:rsid w:val="00E22041"/>
    <w:rsid w:val="00E3628E"/>
    <w:rsid w:val="00E3790F"/>
    <w:rsid w:val="00E45D23"/>
    <w:rsid w:val="00E5214A"/>
    <w:rsid w:val="00E53CF1"/>
    <w:rsid w:val="00E53D35"/>
    <w:rsid w:val="00EA1267"/>
    <w:rsid w:val="00EA509C"/>
    <w:rsid w:val="00EA55B4"/>
    <w:rsid w:val="00EC0A76"/>
    <w:rsid w:val="00EC1406"/>
    <w:rsid w:val="00ED27E1"/>
    <w:rsid w:val="00EF26E2"/>
    <w:rsid w:val="00F152F2"/>
    <w:rsid w:val="00F17139"/>
    <w:rsid w:val="00F22CD9"/>
    <w:rsid w:val="00F768B4"/>
    <w:rsid w:val="00F87B9E"/>
    <w:rsid w:val="00F97C83"/>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78624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459226305">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161895397">
      <w:bodyDiv w:val="1"/>
      <w:marLeft w:val="0"/>
      <w:marRight w:val="0"/>
      <w:marTop w:val="0"/>
      <w:marBottom w:val="0"/>
      <w:divBdr>
        <w:top w:val="none" w:sz="0" w:space="0" w:color="auto"/>
        <w:left w:val="none" w:sz="0" w:space="0" w:color="auto"/>
        <w:bottom w:val="none" w:sz="0" w:space="0" w:color="auto"/>
        <w:right w:val="none" w:sz="0" w:space="0" w:color="auto"/>
      </w:divBdr>
    </w:div>
    <w:div w:id="1180001528">
      <w:bodyDiv w:val="1"/>
      <w:marLeft w:val="0"/>
      <w:marRight w:val="0"/>
      <w:marTop w:val="0"/>
      <w:marBottom w:val="0"/>
      <w:divBdr>
        <w:top w:val="none" w:sz="0" w:space="0" w:color="auto"/>
        <w:left w:val="none" w:sz="0" w:space="0" w:color="auto"/>
        <w:bottom w:val="none" w:sz="0" w:space="0" w:color="auto"/>
        <w:right w:val="none" w:sz="0" w:space="0" w:color="auto"/>
      </w:divBdr>
    </w:div>
    <w:div w:id="1353725647">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77758.82EAEA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966</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BSC Template 104 15-day ET</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SFM-01-2115day ET</dc:title>
  <dc:creator>CBSC</dc:creator>
  <cp:lastModifiedBy>Mills, Laura@DGS</cp:lastModifiedBy>
  <cp:revision>15</cp:revision>
  <cp:lastPrinted>2021-07-23T23:33:00Z</cp:lastPrinted>
  <dcterms:created xsi:type="dcterms:W3CDTF">2021-07-23T22:23:00Z</dcterms:created>
  <dcterms:modified xsi:type="dcterms:W3CDTF">2021-07-28T16:00:00Z</dcterms:modified>
</cp:coreProperties>
</file>