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587B" w14:textId="5C1258D2" w:rsidR="00EA55B4" w:rsidRPr="0044593B" w:rsidRDefault="00786248" w:rsidP="00EA55B4">
      <w:pPr>
        <w:pStyle w:val="Heading1"/>
        <w:spacing w:before="0" w:after="0"/>
        <w:jc w:val="center"/>
        <w:rPr>
          <w:rFonts w:cs="Arial"/>
        </w:rPr>
      </w:pPr>
      <w:r w:rsidRPr="0044593B">
        <w:rPr>
          <w:rFonts w:cs="Arial"/>
        </w:rPr>
        <w:t>ADDITIONAL</w:t>
      </w:r>
      <w:r w:rsidR="00767766" w:rsidRPr="0044593B">
        <w:rPr>
          <w:rFonts w:cs="Arial"/>
        </w:rPr>
        <w:t xml:space="preserve"> </w:t>
      </w:r>
      <w:r w:rsidR="00311D5E">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311D5E">
        <w:t>OFFICE OF STATEWIDE HEALTH PLANNING AND DEVELOPMENT</w:t>
      </w:r>
      <w:r w:rsidR="00767766" w:rsidRPr="0044593B">
        <w:rPr>
          <w:rFonts w:cs="Arial"/>
        </w:rPr>
        <w:br/>
        <w:t xml:space="preserve">REGARDING THE </w:t>
      </w:r>
      <w:r w:rsidR="00311D5E">
        <w:t xml:space="preserve">2022 CALIFORNIA </w:t>
      </w:r>
      <w:r w:rsidR="003E10D8">
        <w:t xml:space="preserve">BUILDING </w:t>
      </w:r>
      <w:r w:rsidR="00311D5E">
        <w:t>CODE</w:t>
      </w:r>
    </w:p>
    <w:p w14:paraId="21B144CC" w14:textId="11D05C5F" w:rsidR="00767766" w:rsidRPr="0044593B" w:rsidRDefault="00767766" w:rsidP="0092735E">
      <w:pPr>
        <w:pStyle w:val="Heading1"/>
        <w:spacing w:before="0"/>
        <w:jc w:val="center"/>
        <w:rPr>
          <w:rFonts w:cs="Arial"/>
        </w:rPr>
      </w:pPr>
      <w:r w:rsidRPr="0044593B">
        <w:rPr>
          <w:rFonts w:cs="Arial"/>
        </w:rPr>
        <w:t>CALIFORNIA CODE OF REGULATIONS, TITLE 24, PART</w:t>
      </w:r>
      <w:r w:rsidR="00311D5E">
        <w:rPr>
          <w:rFonts w:cs="Arial"/>
        </w:rPr>
        <w:t xml:space="preserve"> </w:t>
      </w:r>
      <w:r w:rsidR="003E10D8">
        <w:rPr>
          <w:rFonts w:cs="Arial"/>
        </w:rPr>
        <w:t xml:space="preserve">2, VOLUME </w:t>
      </w:r>
      <w:r w:rsidR="005E07A0">
        <w:rPr>
          <w:rFonts w:cs="Arial"/>
        </w:rPr>
        <w:t>1</w:t>
      </w:r>
    </w:p>
    <w:p w14:paraId="28A8FEFB" w14:textId="6BE21D93" w:rsidR="00767766" w:rsidRPr="0044593B" w:rsidRDefault="00767766" w:rsidP="0092735E">
      <w:pPr>
        <w:pStyle w:val="Heading1"/>
        <w:spacing w:after="120"/>
        <w:jc w:val="center"/>
        <w:rPr>
          <w:rFonts w:cs="Arial"/>
          <w:szCs w:val="24"/>
        </w:rPr>
      </w:pPr>
      <w:r w:rsidRPr="0044593B">
        <w:rPr>
          <w:rFonts w:cs="Arial"/>
          <w:szCs w:val="24"/>
        </w:rPr>
        <w:t>(</w:t>
      </w:r>
      <w:r w:rsidR="00311D5E">
        <w:rPr>
          <w:rFonts w:cs="Arial"/>
        </w:rPr>
        <w:t>OSHPD 0</w:t>
      </w:r>
      <w:r w:rsidR="005E07A0">
        <w:rPr>
          <w:rFonts w:cs="Arial"/>
        </w:rPr>
        <w:t>4</w:t>
      </w:r>
      <w:r w:rsidR="00311D5E">
        <w:rPr>
          <w:rFonts w:cs="Arial"/>
        </w:rPr>
        <w:t>/2</w:t>
      </w:r>
      <w:r w:rsidR="00F74CCA">
        <w:rPr>
          <w:rFonts w:cs="Arial"/>
        </w:rPr>
        <w:t>1</w:t>
      </w:r>
      <w:r w:rsidRPr="0044593B">
        <w:rPr>
          <w:rFonts w:cs="Arial"/>
          <w:szCs w:val="24"/>
        </w:rPr>
        <w:t>)</w:t>
      </w:r>
    </w:p>
    <w:p w14:paraId="2CC5E725" w14:textId="7C5CD51B" w:rsidR="0017531B" w:rsidRPr="0044593B" w:rsidRDefault="00FB34BE" w:rsidP="00FB34BE">
      <w:pPr>
        <w:spacing w:after="120"/>
        <w:rPr>
          <w:rFonts w:ascii="Arial" w:hAnsi="Arial" w:cs="Arial"/>
        </w:rPr>
      </w:pPr>
      <w:r w:rsidRPr="0044593B">
        <w:rPr>
          <w:rFonts w:ascii="Arial" w:hAnsi="Arial" w:cs="Arial"/>
        </w:rPr>
        <w:t>No state agency may adopt, amend, or repeal a regulation which has been changed from that which was originally made available to the public pursuant to Section 11346.5, unless the change is (1) nonsubstantial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ascii="Arial" w:hAnsi="Arial" w:cs="Arial"/>
        </w:rPr>
        <w:t xml:space="preserve"> or 45</w:t>
      </w:r>
      <w:r w:rsidRPr="0044593B">
        <w:rPr>
          <w:rFonts w:ascii="Arial" w:hAnsi="Arial" w:cs="Arial"/>
        </w:rPr>
        <w:t xml:space="preserve"> days before the agency adopts, amends, or repeals the resulting regulation.</w:t>
      </w:r>
    </w:p>
    <w:p w14:paraId="1D0B4194" w14:textId="10613FFF" w:rsidR="00FB34BE" w:rsidRPr="0044593B" w:rsidRDefault="00FB34BE" w:rsidP="00FB34BE">
      <w:pPr>
        <w:spacing w:after="120"/>
        <w:rPr>
          <w:rFonts w:ascii="Arial" w:hAnsi="Arial" w:cs="Arial"/>
        </w:rPr>
      </w:pPr>
      <w:r w:rsidRPr="0044593B">
        <w:rPr>
          <w:rFonts w:ascii="Arial" w:hAnsi="Arial"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ascii="Arial" w:hAnsi="Arial" w:cs="Arial"/>
          <w:szCs w:val="24"/>
        </w:rPr>
      </w:pPr>
      <w:r w:rsidRPr="0044593B">
        <w:rPr>
          <w:rFonts w:ascii="Arial" w:hAnsi="Arial" w:cs="Arial"/>
          <w:szCs w:val="24"/>
        </w:rPr>
        <w:t>If using assistive technology, please adjust your settings to recognize underline, strikeout</w:t>
      </w:r>
      <w:r w:rsidR="008A63C7">
        <w:rPr>
          <w:rFonts w:ascii="Arial" w:hAnsi="Arial" w:cs="Arial"/>
          <w:szCs w:val="24"/>
        </w:rPr>
        <w:t>, double strikeout</w:t>
      </w:r>
      <w:r w:rsidRPr="0044593B">
        <w:rPr>
          <w:rFonts w:ascii="Arial" w:hAnsi="Arial" w:cs="Arial"/>
          <w:szCs w:val="24"/>
        </w:rPr>
        <w:t xml:space="preserve">, </w:t>
      </w:r>
      <w:proofErr w:type="gramStart"/>
      <w:r w:rsidRPr="0044593B">
        <w:rPr>
          <w:rFonts w:ascii="Arial" w:hAnsi="Arial" w:cs="Arial"/>
          <w:szCs w:val="24"/>
        </w:rPr>
        <w:t>italics</w:t>
      </w:r>
      <w:proofErr w:type="gramEnd"/>
      <w:r w:rsidRPr="0044593B">
        <w:rPr>
          <w:rFonts w:ascii="Arial" w:hAnsi="Arial" w:cs="Arial"/>
          <w:szCs w:val="24"/>
        </w:rPr>
        <w:t xml:space="preserve"> and ellipsis.</w:t>
      </w:r>
      <w:r w:rsidR="003324BE" w:rsidRPr="0044593B">
        <w:rPr>
          <w:rFonts w:ascii="Arial" w:hAnsi="Arial"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786248">
      <w:pPr>
        <w:pStyle w:val="Heading2"/>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ascii="Arial" w:hAnsi="Arial" w:cs="Arial"/>
        </w:rPr>
      </w:pPr>
      <w:bookmarkStart w:id="0" w:name="_Hlk51751202"/>
      <w:r w:rsidRPr="0044593B">
        <w:rPr>
          <w:rFonts w:ascii="Arial" w:hAnsi="Arial" w:cs="Arial"/>
        </w:rPr>
        <w:t>Model Code language appears upright</w:t>
      </w:r>
      <w:r w:rsidR="00B53C67" w:rsidRPr="0044593B">
        <w:rPr>
          <w:rFonts w:ascii="Arial" w:hAnsi="Arial" w:cs="Arial"/>
        </w:rPr>
        <w:t>.</w:t>
      </w:r>
    </w:p>
    <w:p w14:paraId="52AB6E65" w14:textId="395D7A77" w:rsidR="00CF2161" w:rsidRPr="0044593B" w:rsidRDefault="00CF2161" w:rsidP="00CF2161">
      <w:pPr>
        <w:pStyle w:val="ListParagraph"/>
        <w:numPr>
          <w:ilvl w:val="0"/>
          <w:numId w:val="5"/>
        </w:numPr>
        <w:rPr>
          <w:rFonts w:ascii="Arial" w:hAnsi="Arial" w:cs="Arial"/>
          <w:iCs/>
        </w:rPr>
      </w:pPr>
      <w:r w:rsidRPr="0044593B">
        <w:rPr>
          <w:rFonts w:ascii="Arial" w:hAnsi="Arial" w:cs="Arial"/>
        </w:rPr>
        <w:t xml:space="preserve">Unmodified California 45-day amendments appear in </w:t>
      </w:r>
      <w:r w:rsidRPr="008A63C7">
        <w:rPr>
          <w:rFonts w:ascii="Arial" w:hAnsi="Arial" w:cs="Arial"/>
          <w:i/>
          <w:u w:val="single"/>
        </w:rPr>
        <w:t xml:space="preserve">underline </w:t>
      </w:r>
      <w:r w:rsidR="00B53C67" w:rsidRPr="008A63C7">
        <w:rPr>
          <w:rFonts w:ascii="Arial" w:hAnsi="Arial" w:cs="Arial"/>
          <w:i/>
          <w:u w:val="single"/>
        </w:rPr>
        <w:t>and</w:t>
      </w:r>
      <w:r w:rsidRPr="008A63C7">
        <w:rPr>
          <w:rFonts w:ascii="Arial" w:hAnsi="Arial" w:cs="Arial"/>
          <w:i/>
          <w:u w:val="single"/>
        </w:rPr>
        <w:t xml:space="preserve"> italic</w:t>
      </w:r>
      <w:r w:rsidR="00B53C67" w:rsidRPr="0044593B">
        <w:rPr>
          <w:rFonts w:ascii="Arial" w:hAnsi="Arial" w:cs="Arial"/>
          <w:iCs/>
        </w:rPr>
        <w:t xml:space="preserve"> and </w:t>
      </w:r>
      <w:r w:rsidR="00B53C67" w:rsidRPr="008A63C7">
        <w:rPr>
          <w:rFonts w:ascii="Arial" w:hAnsi="Arial" w:cs="Arial"/>
          <w:i/>
          <w:strike/>
        </w:rPr>
        <w:t>strikeout and italic</w:t>
      </w:r>
      <w:r w:rsidR="00B53C67" w:rsidRPr="0044593B">
        <w:rPr>
          <w:rFonts w:ascii="Arial" w:hAnsi="Arial" w:cs="Arial"/>
          <w:i/>
        </w:rPr>
        <w:t>.</w:t>
      </w:r>
    </w:p>
    <w:p w14:paraId="15B6E9D7" w14:textId="41996FAC" w:rsidR="00CF2161" w:rsidRPr="0029086C" w:rsidRDefault="00CF2161" w:rsidP="00CF2161">
      <w:pPr>
        <w:pStyle w:val="ListParagraph"/>
        <w:numPr>
          <w:ilvl w:val="0"/>
          <w:numId w:val="5"/>
        </w:numPr>
        <w:rPr>
          <w:rFonts w:ascii="Arial" w:hAnsi="Arial" w:cs="Arial"/>
          <w:i/>
          <w:u w:val="single"/>
        </w:rPr>
      </w:pPr>
      <w:r w:rsidRPr="0029086C">
        <w:rPr>
          <w:rFonts w:ascii="Arial" w:hAnsi="Arial" w:cs="Arial"/>
        </w:rPr>
        <w:t xml:space="preserve">California additional </w:t>
      </w:r>
      <w:r w:rsidR="00B67AA1" w:rsidRPr="0029086C">
        <w:rPr>
          <w:rFonts w:ascii="Arial" w:hAnsi="Arial" w:cs="Arial"/>
        </w:rPr>
        <w:t>15</w:t>
      </w:r>
      <w:r w:rsidRPr="0029086C">
        <w:rPr>
          <w:rFonts w:ascii="Arial" w:hAnsi="Arial" w:cs="Arial"/>
        </w:rPr>
        <w:t xml:space="preserve">-day amendments appear in </w:t>
      </w:r>
      <w:r w:rsidRPr="0029086C">
        <w:rPr>
          <w:rFonts w:ascii="Arial" w:hAnsi="Arial" w:cs="Arial"/>
          <w:i/>
          <w:iCs/>
          <w:u w:val="double"/>
        </w:rPr>
        <w:t>double underline and italic</w:t>
      </w:r>
      <w:r w:rsidRPr="0029086C">
        <w:rPr>
          <w:rFonts w:ascii="Arial" w:hAnsi="Arial" w:cs="Arial"/>
        </w:rPr>
        <w:t xml:space="preserve"> and </w:t>
      </w:r>
      <w:r w:rsidRPr="0029086C">
        <w:rPr>
          <w:rFonts w:ascii="Arial" w:hAnsi="Arial" w:cs="Arial"/>
          <w:i/>
          <w:iCs/>
          <w:dstrike/>
        </w:rPr>
        <w:t>double strikeout and italic</w:t>
      </w:r>
      <w:r w:rsidRPr="0029086C">
        <w:rPr>
          <w:rFonts w:ascii="Arial" w:hAnsi="Arial" w:cs="Arial"/>
        </w:rPr>
        <w:t>.</w:t>
      </w:r>
    </w:p>
    <w:p w14:paraId="2535AC15" w14:textId="6DD9A469" w:rsidR="00CF2161" w:rsidRPr="0044593B" w:rsidRDefault="00B53C67" w:rsidP="00CF2161">
      <w:pPr>
        <w:pStyle w:val="ListParagraph"/>
        <w:numPr>
          <w:ilvl w:val="0"/>
          <w:numId w:val="5"/>
        </w:numPr>
        <w:rPr>
          <w:rFonts w:ascii="Arial" w:hAnsi="Arial" w:cs="Arial"/>
        </w:rPr>
      </w:pPr>
      <w:r w:rsidRPr="0044593B">
        <w:rPr>
          <w:rFonts w:ascii="Arial" w:hAnsi="Arial" w:cs="Arial"/>
        </w:rPr>
        <w:t xml:space="preserve">Ellipsis </w:t>
      </w:r>
      <w:r w:rsidRPr="0044593B">
        <w:rPr>
          <w:rFonts w:ascii="Arial" w:hAnsi="Arial" w:cs="Arial"/>
          <w:szCs w:val="24"/>
        </w:rPr>
        <w:t>(</w:t>
      </w:r>
      <w:r w:rsidRPr="0044593B">
        <w:rPr>
          <w:rFonts w:ascii="Arial" w:hAnsi="Arial" w:cs="Arial"/>
          <w:sz w:val="2"/>
          <w:szCs w:val="2"/>
        </w:rPr>
        <w:t xml:space="preserve"> </w:t>
      </w:r>
      <w:r w:rsidRPr="0044593B">
        <w:rPr>
          <w:rFonts w:ascii="Arial" w:eastAsia="Times New Roman" w:hAnsi="Arial" w:cs="Arial"/>
          <w:szCs w:val="24"/>
          <w:lang w:eastAsia="ko-KR"/>
        </w:rPr>
        <w:t>...)</w:t>
      </w:r>
      <w:r w:rsidRPr="0044593B">
        <w:rPr>
          <w:rFonts w:ascii="Arial" w:eastAsia="Times New Roman" w:hAnsi="Arial"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ascii="Arial" w:hAnsi="Arial" w:cs="Arial"/>
        </w:rPr>
      </w:pPr>
      <w:r w:rsidRPr="0044593B">
        <w:rPr>
          <w:rFonts w:ascii="Arial" w:hAnsi="Arial" w:cs="Arial"/>
          <w:b/>
          <w:bCs/>
        </w:rPr>
        <w:t>Rationale</w:t>
      </w:r>
      <w:r w:rsidRPr="0044593B">
        <w:rPr>
          <w:rFonts w:ascii="Arial" w:hAnsi="Arial"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ascii="Arial" w:hAnsi="Arial" w:cs="Arial"/>
          <w:sz w:val="10"/>
          <w:szCs w:val="10"/>
        </w:rPr>
      </w:pPr>
    </w:p>
    <w:p w14:paraId="7D4E993D" w14:textId="5642E75A" w:rsidR="00767766" w:rsidRDefault="00786248" w:rsidP="0070740F">
      <w:pPr>
        <w:pStyle w:val="Heading1"/>
        <w:spacing w:before="240" w:after="120"/>
        <w:rPr>
          <w:rFonts w:cs="Arial"/>
        </w:rPr>
      </w:pPr>
      <w:r w:rsidRPr="0044593B">
        <w:rPr>
          <w:rFonts w:cs="Arial"/>
        </w:rPr>
        <w:t>ADDITIONAL</w:t>
      </w:r>
      <w:r w:rsidR="00767766" w:rsidRPr="0044593B">
        <w:rPr>
          <w:rFonts w:cs="Arial"/>
        </w:rPr>
        <w:t xml:space="preserve"> </w:t>
      </w:r>
      <w:r w:rsidR="00311D5E">
        <w:rPr>
          <w:rFonts w:cs="Arial"/>
        </w:rPr>
        <w:t>15</w:t>
      </w:r>
      <w:r w:rsidRPr="0044593B">
        <w:rPr>
          <w:rFonts w:cs="Arial"/>
        </w:rPr>
        <w:t xml:space="preserve">-DAY </w:t>
      </w:r>
      <w:r w:rsidR="00767766" w:rsidRPr="0044593B">
        <w:rPr>
          <w:rFonts w:cs="Arial"/>
        </w:rPr>
        <w:t>EXPRESS TERMS</w:t>
      </w:r>
    </w:p>
    <w:p w14:paraId="6957F5E6" w14:textId="77777777" w:rsidR="0011511B" w:rsidRPr="00746602" w:rsidRDefault="0011511B" w:rsidP="0011511B">
      <w:pPr>
        <w:pStyle w:val="Heading1"/>
        <w:spacing w:before="60"/>
        <w:rPr>
          <w:rFonts w:cs="Arial"/>
        </w:rPr>
      </w:pPr>
      <w:r>
        <w:t>Item 25</w:t>
      </w:r>
      <w:r>
        <w:br/>
      </w:r>
      <w:r w:rsidRPr="00F125A1">
        <w:t>CHAPTER 12 INTERIOR ENVIRONMENT</w:t>
      </w:r>
      <w:r>
        <w:br/>
      </w:r>
      <w:r w:rsidRPr="003A2D59">
        <w:rPr>
          <w:rFonts w:eastAsia="Calibri" w:cs="Arial"/>
          <w:i/>
          <w:iCs/>
          <w:snapToGrid/>
          <w:color w:val="000000"/>
          <w:szCs w:val="24"/>
        </w:rPr>
        <w:t>1224.29.2 Newborn intensive care units (NICU)</w:t>
      </w:r>
      <w:r>
        <w:rPr>
          <w:rFonts w:eastAsia="Calibri" w:cs="Arial"/>
          <w:i/>
          <w:iCs/>
          <w:snapToGrid/>
          <w:color w:val="000000"/>
          <w:szCs w:val="24"/>
        </w:rPr>
        <w:t>.</w:t>
      </w:r>
    </w:p>
    <w:p w14:paraId="6E81595C" w14:textId="77777777" w:rsidR="0011511B" w:rsidRPr="00F125A1" w:rsidRDefault="0011511B" w:rsidP="0011511B">
      <w:pPr>
        <w:widowControl/>
        <w:spacing w:line="259" w:lineRule="auto"/>
        <w:rPr>
          <w:rFonts w:ascii="Arial" w:eastAsia="Batang" w:hAnsi="Arial" w:cs="Arial"/>
          <w:snapToGrid/>
          <w:szCs w:val="24"/>
        </w:rPr>
      </w:pPr>
      <w:r w:rsidRPr="00F125A1">
        <w:rPr>
          <w:rFonts w:ascii="Arial" w:eastAsia="Batang" w:hAnsi="Arial" w:cs="Arial"/>
          <w:snapToGrid/>
          <w:szCs w:val="24"/>
        </w:rPr>
        <w:t>…</w:t>
      </w:r>
    </w:p>
    <w:p w14:paraId="734E1255" w14:textId="54868947" w:rsidR="0011511B" w:rsidRPr="00F125A1" w:rsidRDefault="0011511B" w:rsidP="0011511B">
      <w:pPr>
        <w:widowControl/>
        <w:autoSpaceDE w:val="0"/>
        <w:autoSpaceDN w:val="0"/>
        <w:adjustRightInd w:val="0"/>
        <w:rPr>
          <w:rFonts w:ascii="Arial" w:eastAsia="Calibri" w:hAnsi="Arial" w:cs="Arial"/>
          <w:i/>
          <w:snapToGrid/>
          <w:szCs w:val="24"/>
        </w:rPr>
      </w:pPr>
      <w:r w:rsidRPr="00F125A1">
        <w:rPr>
          <w:rFonts w:ascii="Arial" w:eastAsia="Calibri" w:hAnsi="Arial" w:cs="Arial"/>
          <w:b/>
          <w:bCs/>
          <w:i/>
          <w:iCs/>
          <w:snapToGrid/>
          <w:color w:val="000000"/>
          <w:szCs w:val="24"/>
        </w:rPr>
        <w:t>1224.29.2.6 Area.</w:t>
      </w:r>
      <w:r w:rsidRPr="00F125A1">
        <w:rPr>
          <w:rFonts w:ascii="Arial" w:eastAsia="Calibri" w:hAnsi="Arial" w:cs="Arial"/>
          <w:i/>
          <w:iCs/>
          <w:snapToGrid/>
          <w:szCs w:val="24"/>
        </w:rPr>
        <w:t xml:space="preserve"> </w:t>
      </w:r>
      <w:r w:rsidRPr="00F125A1">
        <w:rPr>
          <w:rFonts w:ascii="Arial" w:eastAsia="Calibri" w:hAnsi="Arial" w:cs="Arial"/>
          <w:i/>
          <w:snapToGrid/>
          <w:szCs w:val="24"/>
        </w:rPr>
        <w:t xml:space="preserve">Each patient care space shall contain a minimum of 120 square feet (11.15 m2) of clear floor area per bassinet excluding handwashing fixtures and aisles </w:t>
      </w:r>
      <w:r w:rsidRPr="00CA57BE">
        <w:rPr>
          <w:rFonts w:ascii="Arial" w:eastAsia="Calibri" w:hAnsi="Arial" w:cs="Arial"/>
          <w:i/>
          <w:iCs/>
          <w:snapToGrid/>
          <w:szCs w:val="24"/>
          <w:u w:val="single"/>
        </w:rPr>
        <w:t xml:space="preserve">with a </w:t>
      </w:r>
      <w:r w:rsidRPr="005E3407">
        <w:rPr>
          <w:rFonts w:ascii="Arial" w:eastAsia="Calibri" w:hAnsi="Arial" w:cs="Arial"/>
          <w:i/>
          <w:iCs/>
          <w:snapToGrid/>
          <w:szCs w:val="24"/>
          <w:u w:val="single"/>
        </w:rPr>
        <w:t>minimum</w:t>
      </w:r>
      <w:r w:rsidR="009D0D44" w:rsidRPr="005E3407">
        <w:rPr>
          <w:rFonts w:ascii="Arial" w:eastAsia="Calibri" w:hAnsi="Arial" w:cs="Arial"/>
          <w:i/>
          <w:iCs/>
          <w:snapToGrid/>
          <w:szCs w:val="24"/>
          <w:u w:val="single"/>
        </w:rPr>
        <w:t xml:space="preserve"> </w:t>
      </w:r>
      <w:r w:rsidR="009D0D44" w:rsidRPr="005E3407">
        <w:rPr>
          <w:rFonts w:ascii="Arial" w:eastAsia="Calibri" w:hAnsi="Arial" w:cs="Arial"/>
          <w:i/>
          <w:iCs/>
          <w:snapToGrid/>
          <w:szCs w:val="24"/>
        </w:rPr>
        <w:t>(begin double strikeout)</w:t>
      </w:r>
      <w:r w:rsidR="005E3407" w:rsidRPr="005E3407">
        <w:rPr>
          <w:rFonts w:ascii="Arial" w:eastAsia="Calibri" w:hAnsi="Arial" w:cs="Arial"/>
          <w:i/>
          <w:iCs/>
          <w:snapToGrid/>
          <w:szCs w:val="24"/>
        </w:rPr>
        <w:t xml:space="preserve"> </w:t>
      </w:r>
      <w:r w:rsidR="00E957EF" w:rsidRPr="005E3407">
        <w:rPr>
          <w:rFonts w:ascii="Arial" w:eastAsia="Calibri" w:hAnsi="Arial" w:cs="Arial"/>
          <w:i/>
          <w:iCs/>
          <w:dstrike/>
          <w:snapToGrid/>
          <w:szCs w:val="24"/>
          <w:u w:val="single"/>
        </w:rPr>
        <w:t>headwall</w:t>
      </w:r>
      <w:r w:rsidR="005E3407" w:rsidRPr="005E3407">
        <w:rPr>
          <w:rFonts w:ascii="Arial" w:eastAsia="Calibri" w:hAnsi="Arial" w:cs="Arial"/>
          <w:i/>
          <w:iCs/>
          <w:snapToGrid/>
          <w:szCs w:val="24"/>
          <w:u w:val="single"/>
        </w:rPr>
        <w:t xml:space="preserve"> </w:t>
      </w:r>
      <w:r w:rsidR="009D0D44" w:rsidRPr="005E3407">
        <w:rPr>
          <w:rFonts w:ascii="Arial" w:eastAsia="Calibri" w:hAnsi="Arial" w:cs="Arial"/>
          <w:i/>
          <w:iCs/>
          <w:snapToGrid/>
          <w:szCs w:val="24"/>
        </w:rPr>
        <w:t>(end double strikeout)</w:t>
      </w:r>
      <w:r w:rsidR="005E3407" w:rsidRPr="005E3407">
        <w:rPr>
          <w:rFonts w:ascii="Arial" w:eastAsia="Calibri" w:hAnsi="Arial" w:cs="Arial"/>
          <w:i/>
          <w:iCs/>
          <w:snapToGrid/>
          <w:szCs w:val="24"/>
        </w:rPr>
        <w:t xml:space="preserve"> </w:t>
      </w:r>
      <w:r w:rsidRPr="005E3407">
        <w:rPr>
          <w:rFonts w:ascii="Arial" w:eastAsia="Calibri" w:hAnsi="Arial" w:cs="Arial"/>
          <w:i/>
          <w:iCs/>
          <w:snapToGrid/>
          <w:szCs w:val="24"/>
          <w:u w:val="single"/>
        </w:rPr>
        <w:t xml:space="preserve">width of 11 feet (3353 mm) </w:t>
      </w:r>
      <w:r w:rsidR="009D0D44" w:rsidRPr="005E3407">
        <w:rPr>
          <w:rFonts w:ascii="Arial" w:eastAsia="Calibri" w:hAnsi="Arial" w:cs="Arial"/>
          <w:i/>
          <w:iCs/>
          <w:snapToGrid/>
          <w:szCs w:val="24"/>
        </w:rPr>
        <w:t>(begin double underline)</w:t>
      </w:r>
      <w:r w:rsidR="005E3407" w:rsidRPr="005E3407">
        <w:rPr>
          <w:rFonts w:ascii="Arial" w:eastAsia="Calibri" w:hAnsi="Arial" w:cs="Arial"/>
          <w:i/>
          <w:iCs/>
          <w:snapToGrid/>
          <w:szCs w:val="24"/>
        </w:rPr>
        <w:t xml:space="preserve"> </w:t>
      </w:r>
      <w:r w:rsidRPr="005E3407">
        <w:rPr>
          <w:rFonts w:ascii="Arial" w:eastAsia="Calibri" w:hAnsi="Arial" w:cs="Arial"/>
          <w:i/>
          <w:iCs/>
          <w:snapToGrid/>
          <w:szCs w:val="24"/>
          <w:u w:val="double"/>
        </w:rPr>
        <w:t>at headwall</w:t>
      </w:r>
      <w:r w:rsidR="005E3407" w:rsidRPr="005E3407">
        <w:rPr>
          <w:rFonts w:ascii="Arial" w:eastAsia="Calibri" w:hAnsi="Arial" w:cs="Arial"/>
          <w:i/>
          <w:iCs/>
          <w:snapToGrid/>
          <w:szCs w:val="24"/>
        </w:rPr>
        <w:t xml:space="preserve"> </w:t>
      </w:r>
      <w:r w:rsidR="009D0D44" w:rsidRPr="005E3407">
        <w:rPr>
          <w:rFonts w:ascii="Arial" w:eastAsia="Calibri" w:hAnsi="Arial" w:cs="Arial"/>
          <w:i/>
          <w:iCs/>
          <w:snapToGrid/>
          <w:szCs w:val="24"/>
        </w:rPr>
        <w:t>(end double underline)</w:t>
      </w:r>
      <w:r w:rsidRPr="005E3407">
        <w:rPr>
          <w:rFonts w:ascii="Arial" w:eastAsia="Calibri" w:hAnsi="Arial" w:cs="Arial"/>
          <w:i/>
          <w:iCs/>
          <w:snapToGrid/>
          <w:szCs w:val="24"/>
        </w:rPr>
        <w:t>. There shall be an aisle for circulation adjacent to each patient care space with a minimum width of 4 feet (1219 mm).</w:t>
      </w:r>
      <w:r w:rsidRPr="00F125A1">
        <w:rPr>
          <w:rFonts w:ascii="Arial" w:eastAsia="Calibri" w:hAnsi="Arial" w:cs="Arial"/>
          <w:i/>
          <w:snapToGrid/>
          <w:szCs w:val="24"/>
        </w:rPr>
        <w:t xml:space="preserve"> </w:t>
      </w:r>
    </w:p>
    <w:p w14:paraId="15224716" w14:textId="77777777" w:rsidR="0011511B" w:rsidRDefault="0011511B" w:rsidP="0011511B">
      <w:pPr>
        <w:rPr>
          <w:rFonts w:ascii="Arial" w:hAnsi="Arial" w:cs="Arial"/>
          <w:bCs/>
          <w:iCs/>
          <w:szCs w:val="24"/>
        </w:rPr>
      </w:pPr>
      <w:r w:rsidRPr="001D0E81">
        <w:rPr>
          <w:rFonts w:ascii="Arial" w:hAnsi="Arial" w:cs="Arial"/>
          <w:bCs/>
          <w:iCs/>
          <w:szCs w:val="24"/>
        </w:rPr>
        <w:t>…</w:t>
      </w:r>
    </w:p>
    <w:p w14:paraId="1954863A" w14:textId="0004AA65" w:rsidR="006930B5" w:rsidRDefault="00454407" w:rsidP="00454407">
      <w:pPr>
        <w:spacing w:before="120"/>
        <w:rPr>
          <w:rFonts w:ascii="Arial" w:hAnsi="Arial" w:cs="Arial"/>
          <w:bCs/>
          <w:szCs w:val="24"/>
        </w:rPr>
      </w:pPr>
      <w:r w:rsidRPr="006930B5">
        <w:rPr>
          <w:rFonts w:ascii="Arial" w:hAnsi="Arial" w:cs="Arial"/>
          <w:b/>
          <w:szCs w:val="24"/>
        </w:rPr>
        <w:lastRenderedPageBreak/>
        <w:t xml:space="preserve">Rationale: </w:t>
      </w:r>
      <w:r w:rsidRPr="006930B5">
        <w:rPr>
          <w:rFonts w:ascii="Arial" w:hAnsi="Arial" w:cs="Arial"/>
          <w:bCs/>
          <w:szCs w:val="24"/>
        </w:rPr>
        <w:t xml:space="preserve">During </w:t>
      </w:r>
      <w:r w:rsidR="00CB01EB">
        <w:rPr>
          <w:rFonts w:ascii="Arial" w:hAnsi="Arial" w:cs="Arial"/>
          <w:bCs/>
          <w:szCs w:val="24"/>
        </w:rPr>
        <w:t xml:space="preserve">the </w:t>
      </w:r>
      <w:r w:rsidRPr="006930B5">
        <w:rPr>
          <w:rFonts w:ascii="Arial" w:hAnsi="Arial" w:cs="Arial"/>
          <w:bCs/>
          <w:szCs w:val="24"/>
        </w:rPr>
        <w:t>45-Day Public Comment</w:t>
      </w:r>
      <w:r w:rsidR="006930B5" w:rsidRPr="006930B5">
        <w:rPr>
          <w:rFonts w:ascii="Arial" w:hAnsi="Arial" w:cs="Arial"/>
          <w:bCs/>
          <w:szCs w:val="24"/>
        </w:rPr>
        <w:t xml:space="preserve"> </w:t>
      </w:r>
      <w:r w:rsidR="00AD37AB">
        <w:rPr>
          <w:rFonts w:ascii="Arial" w:hAnsi="Arial" w:cs="Arial"/>
          <w:bCs/>
          <w:szCs w:val="24"/>
        </w:rPr>
        <w:t>P</w:t>
      </w:r>
      <w:r w:rsidR="006930B5" w:rsidRPr="006930B5">
        <w:rPr>
          <w:rFonts w:ascii="Arial" w:hAnsi="Arial" w:cs="Arial"/>
          <w:bCs/>
          <w:szCs w:val="24"/>
        </w:rPr>
        <w:t>eriod</w:t>
      </w:r>
      <w:r w:rsidRPr="006930B5">
        <w:rPr>
          <w:rFonts w:ascii="Arial" w:hAnsi="Arial" w:cs="Arial"/>
          <w:bCs/>
          <w:szCs w:val="24"/>
        </w:rPr>
        <w:t xml:space="preserve">, </w:t>
      </w:r>
      <w:r w:rsidR="009965D8" w:rsidRPr="006930B5">
        <w:rPr>
          <w:rFonts w:ascii="Arial" w:hAnsi="Arial" w:cs="Arial"/>
          <w:bCs/>
          <w:szCs w:val="24"/>
        </w:rPr>
        <w:t xml:space="preserve">amendment language was submitted which helped to </w:t>
      </w:r>
      <w:r w:rsidR="00CB01EB">
        <w:rPr>
          <w:rFonts w:ascii="Arial" w:hAnsi="Arial" w:cs="Arial"/>
          <w:bCs/>
          <w:szCs w:val="24"/>
        </w:rPr>
        <w:t xml:space="preserve">further </w:t>
      </w:r>
      <w:r w:rsidR="009965D8" w:rsidRPr="006930B5">
        <w:rPr>
          <w:rFonts w:ascii="Arial" w:hAnsi="Arial" w:cs="Arial"/>
          <w:bCs/>
          <w:szCs w:val="24"/>
        </w:rPr>
        <w:t xml:space="preserve">clarify the </w:t>
      </w:r>
      <w:r w:rsidR="006930B5" w:rsidRPr="006930B5">
        <w:rPr>
          <w:rFonts w:ascii="Arial" w:hAnsi="Arial" w:cs="Arial"/>
          <w:bCs/>
          <w:szCs w:val="24"/>
        </w:rPr>
        <w:t>minimum headwall width</w:t>
      </w:r>
      <w:r w:rsidR="006930B5">
        <w:rPr>
          <w:rFonts w:ascii="Arial" w:hAnsi="Arial" w:cs="Arial"/>
          <w:bCs/>
          <w:szCs w:val="24"/>
        </w:rPr>
        <w:t xml:space="preserve"> for each patient care space</w:t>
      </w:r>
      <w:r w:rsidR="006930B5" w:rsidRPr="006930B5">
        <w:rPr>
          <w:rFonts w:ascii="Arial" w:hAnsi="Arial" w:cs="Arial"/>
          <w:bCs/>
          <w:szCs w:val="24"/>
        </w:rPr>
        <w:t>.</w:t>
      </w:r>
      <w:r w:rsidR="006930B5">
        <w:rPr>
          <w:rFonts w:ascii="Arial" w:hAnsi="Arial" w:cs="Arial"/>
          <w:bCs/>
          <w:szCs w:val="24"/>
        </w:rPr>
        <w:t xml:space="preserve"> </w:t>
      </w:r>
    </w:p>
    <w:p w14:paraId="5F0DC260" w14:textId="77777777" w:rsidR="0011511B" w:rsidRPr="00AD67B3" w:rsidRDefault="0011511B" w:rsidP="0011511B">
      <w:pPr>
        <w:spacing w:before="120"/>
        <w:rPr>
          <w:rFonts w:ascii="Arial" w:hAnsi="Arial" w:cs="Arial"/>
        </w:rPr>
      </w:pPr>
      <w:r w:rsidRPr="00AD67B3">
        <w:rPr>
          <w:rFonts w:ascii="Arial" w:hAnsi="Arial" w:cs="Arial"/>
          <w:b/>
        </w:rPr>
        <w:t>Notation:</w:t>
      </w:r>
    </w:p>
    <w:p w14:paraId="2DE6BD3C" w14:textId="77777777" w:rsidR="0011511B" w:rsidRPr="00AD67B3" w:rsidRDefault="0011511B" w:rsidP="0011511B">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7F670E8" w14:textId="77777777" w:rsidR="0011511B" w:rsidRDefault="0011511B" w:rsidP="0011511B">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561A0C" w14:textId="77777777" w:rsidR="0011511B" w:rsidRDefault="0011511B" w:rsidP="0011511B">
      <w:pPr>
        <w:rPr>
          <w:rFonts w:ascii="Arial" w:hAnsi="Arial" w:cs="Arial"/>
        </w:rPr>
      </w:pPr>
    </w:p>
    <w:sectPr w:rsidR="0011511B"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583E" w14:textId="77777777" w:rsidR="00B00C48" w:rsidRDefault="00B00C48">
      <w:r>
        <w:separator/>
      </w:r>
    </w:p>
  </w:endnote>
  <w:endnote w:type="continuationSeparator" w:id="0">
    <w:p w14:paraId="04BF8C1F" w14:textId="77777777" w:rsidR="00B00C48" w:rsidRDefault="00B0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7F6270F9" w14:textId="44A2D00B" w:rsidR="00311D5E" w:rsidRPr="00311D5E" w:rsidRDefault="001A4A03" w:rsidP="00311D5E">
    <w:pPr>
      <w:pStyle w:val="Footer"/>
      <w:tabs>
        <w:tab w:val="clear" w:pos="4320"/>
        <w:tab w:val="clear" w:pos="8640"/>
        <w:tab w:val="right" w:pos="9180"/>
      </w:tabs>
      <w:ind w:left="108"/>
      <w:rPr>
        <w:rFonts w:ascii="Arial" w:hAnsi="Arial"/>
        <w:sz w:val="16"/>
      </w:rPr>
    </w:pPr>
    <w:r>
      <w:rPr>
        <w:sz w:val="16"/>
      </w:rPr>
      <w:t xml:space="preserve">BSC TP-104 (Rev. </w:t>
    </w:r>
    <w:r w:rsidR="00BF3E81">
      <w:rPr>
        <w:sz w:val="16"/>
      </w:rPr>
      <w:t>10</w:t>
    </w:r>
    <w:r>
      <w:rPr>
        <w:sz w:val="16"/>
      </w:rPr>
      <w:t>/</w:t>
    </w:r>
    <w:r w:rsidR="001D6710">
      <w:rPr>
        <w:sz w:val="16"/>
      </w:rPr>
      <w:t>20</w:t>
    </w:r>
    <w:r w:rsidRPr="004C48A0">
      <w:rPr>
        <w:sz w:val="16"/>
      </w:rPr>
      <w:t>)</w:t>
    </w:r>
    <w:r w:rsidR="00EC0A76">
      <w:rPr>
        <w:sz w:val="16"/>
      </w:rPr>
      <w:t xml:space="preserve"> Additional</w:t>
    </w:r>
    <w:r>
      <w:rPr>
        <w:sz w:val="16"/>
      </w:rPr>
      <w:t xml:space="preserve"> </w:t>
    </w:r>
    <w:r w:rsidR="00311D5E">
      <w:rPr>
        <w:sz w:val="16"/>
      </w:rPr>
      <w:t>15</w:t>
    </w:r>
    <w:r>
      <w:rPr>
        <w:sz w:val="16"/>
      </w:rPr>
      <w:t>-Day Express Terms</w:t>
    </w:r>
    <w:r>
      <w:rPr>
        <w:sz w:val="16"/>
      </w:rPr>
      <w:tab/>
    </w:r>
    <w:r w:rsidR="005E07A0">
      <w:rPr>
        <w:rFonts w:ascii="Arial" w:hAnsi="Arial"/>
        <w:sz w:val="16"/>
      </w:rPr>
      <w:t>November 15</w:t>
    </w:r>
    <w:r w:rsidR="00311D5E" w:rsidRPr="00311D5E">
      <w:rPr>
        <w:rFonts w:ascii="Arial" w:hAnsi="Arial"/>
        <w:sz w:val="16"/>
      </w:rPr>
      <w:t>, 2021</w:t>
    </w:r>
  </w:p>
  <w:p w14:paraId="7E94FC76" w14:textId="58C1FF0A" w:rsidR="00311D5E" w:rsidRPr="00311D5E" w:rsidRDefault="00311D5E" w:rsidP="00311D5E">
    <w:pPr>
      <w:tabs>
        <w:tab w:val="center" w:pos="5040"/>
        <w:tab w:val="right" w:pos="9180"/>
      </w:tabs>
      <w:ind w:left="108"/>
      <w:rPr>
        <w:rFonts w:ascii="Arial" w:hAnsi="Arial"/>
        <w:sz w:val="16"/>
      </w:rPr>
    </w:pPr>
    <w:r w:rsidRPr="00311D5E">
      <w:rPr>
        <w:rFonts w:ascii="Arial" w:hAnsi="Arial" w:cs="Arial"/>
        <w:sz w:val="16"/>
      </w:rPr>
      <w:t>OSHPD 0</w:t>
    </w:r>
    <w:r w:rsidR="005E07A0">
      <w:rPr>
        <w:rFonts w:ascii="Arial" w:hAnsi="Arial" w:cs="Arial"/>
        <w:sz w:val="16"/>
      </w:rPr>
      <w:t>4</w:t>
    </w:r>
    <w:r w:rsidRPr="00311D5E">
      <w:rPr>
        <w:rFonts w:ascii="Arial" w:hAnsi="Arial" w:cs="Arial"/>
        <w:sz w:val="16"/>
      </w:rPr>
      <w:t>/2</w:t>
    </w:r>
    <w:r w:rsidR="003E10D8">
      <w:rPr>
        <w:rFonts w:ascii="Arial" w:hAnsi="Arial" w:cs="Arial"/>
        <w:sz w:val="16"/>
      </w:rPr>
      <w:t>1</w:t>
    </w:r>
    <w:r w:rsidRPr="00311D5E">
      <w:rPr>
        <w:rFonts w:ascii="Arial" w:hAnsi="Arial" w:cs="Arial"/>
        <w:sz w:val="16"/>
      </w:rPr>
      <w:t xml:space="preserve"> - Part </w:t>
    </w:r>
    <w:r w:rsidR="003E10D8">
      <w:rPr>
        <w:rFonts w:ascii="Arial" w:hAnsi="Arial" w:cs="Arial"/>
        <w:sz w:val="16"/>
      </w:rPr>
      <w:t xml:space="preserve">2, Volume </w:t>
    </w:r>
    <w:r w:rsidR="005E07A0">
      <w:rPr>
        <w:rFonts w:ascii="Arial" w:hAnsi="Arial" w:cs="Arial"/>
        <w:sz w:val="16"/>
      </w:rPr>
      <w:t>1</w:t>
    </w:r>
    <w:r w:rsidR="003E10D8">
      <w:rPr>
        <w:rFonts w:ascii="Arial" w:hAnsi="Arial" w:cs="Arial"/>
        <w:sz w:val="16"/>
      </w:rPr>
      <w:t xml:space="preserve"> </w:t>
    </w:r>
    <w:r w:rsidR="003E10D8" w:rsidRPr="006D4A50">
      <w:rPr>
        <w:rFonts w:ascii="Arial" w:hAnsi="Arial" w:cs="Arial"/>
        <w:sz w:val="16"/>
      </w:rPr>
      <w:t xml:space="preserve">– </w:t>
    </w:r>
    <w:r w:rsidRPr="00311D5E">
      <w:rPr>
        <w:rFonts w:ascii="Arial" w:hAnsi="Arial" w:cs="Arial"/>
        <w:sz w:val="16"/>
      </w:rPr>
      <w:t>2021 Triennial Code Cycle</w:t>
    </w:r>
    <w:r w:rsidR="003E10D8">
      <w:rPr>
        <w:rFonts w:ascii="Arial" w:hAnsi="Arial" w:cs="Arial"/>
        <w:sz w:val="16"/>
      </w:rPr>
      <w:t xml:space="preserve"> </w:t>
    </w:r>
    <w:r w:rsidRPr="00311D5E">
      <w:rPr>
        <w:rFonts w:ascii="Arial" w:hAnsi="Arial"/>
        <w:sz w:val="16"/>
      </w:rPr>
      <w:tab/>
    </w:r>
    <w:r w:rsidRPr="00311D5E">
      <w:rPr>
        <w:rFonts w:ascii="Arial" w:hAnsi="Arial"/>
        <w:sz w:val="16"/>
      </w:rPr>
      <w:tab/>
      <w:t>OSHPD 0</w:t>
    </w:r>
    <w:r w:rsidR="005E07A0">
      <w:rPr>
        <w:rFonts w:ascii="Arial" w:hAnsi="Arial"/>
        <w:sz w:val="16"/>
      </w:rPr>
      <w:t>4</w:t>
    </w:r>
    <w:r w:rsidRPr="00311D5E">
      <w:rPr>
        <w:rFonts w:ascii="Arial" w:hAnsi="Arial"/>
        <w:sz w:val="16"/>
      </w:rPr>
      <w:t>-2</w:t>
    </w:r>
    <w:r w:rsidR="003E10D8">
      <w:rPr>
        <w:rFonts w:ascii="Arial" w:hAnsi="Arial"/>
        <w:sz w:val="16"/>
      </w:rPr>
      <w:t>1</w:t>
    </w:r>
    <w:r w:rsidRPr="00311D5E">
      <w:rPr>
        <w:rFonts w:ascii="Arial" w:hAnsi="Arial"/>
        <w:sz w:val="16"/>
      </w:rPr>
      <w:t>-</w:t>
    </w:r>
    <w:r>
      <w:rPr>
        <w:rFonts w:ascii="Arial" w:hAnsi="Arial"/>
        <w:sz w:val="16"/>
      </w:rPr>
      <w:t>15</w:t>
    </w:r>
    <w:r w:rsidRPr="00311D5E">
      <w:rPr>
        <w:rFonts w:ascii="Arial" w:hAnsi="Arial"/>
        <w:sz w:val="16"/>
      </w:rPr>
      <w:t>DayET-PT</w:t>
    </w:r>
    <w:r w:rsidR="003E10D8">
      <w:rPr>
        <w:rFonts w:ascii="Arial" w:hAnsi="Arial"/>
        <w:sz w:val="16"/>
      </w:rPr>
      <w:t>2V</w:t>
    </w:r>
    <w:r w:rsidR="005E07A0">
      <w:rPr>
        <w:rFonts w:ascii="Arial" w:hAnsi="Arial"/>
        <w:sz w:val="16"/>
      </w:rPr>
      <w:t>1</w:t>
    </w:r>
  </w:p>
  <w:p w14:paraId="34A62C62" w14:textId="77777777" w:rsidR="00311D5E" w:rsidRPr="00311D5E" w:rsidRDefault="00311D5E" w:rsidP="00311D5E">
    <w:pPr>
      <w:tabs>
        <w:tab w:val="center" w:pos="4806"/>
        <w:tab w:val="right" w:pos="9180"/>
      </w:tabs>
      <w:ind w:left="108"/>
      <w:rPr>
        <w:rFonts w:ascii="Arial" w:hAnsi="Arial"/>
        <w:sz w:val="16"/>
      </w:rPr>
    </w:pPr>
    <w:r w:rsidRPr="00311D5E">
      <w:rPr>
        <w:rFonts w:ascii="Arial" w:hAnsi="Arial"/>
        <w:sz w:val="16"/>
      </w:rPr>
      <w:t>Office of Statewide Health Planning and Development</w:t>
    </w:r>
    <w:r w:rsidRPr="00311D5E">
      <w:rPr>
        <w:rFonts w:ascii="Arial" w:hAnsi="Arial"/>
        <w:sz w:val="16"/>
      </w:rPr>
      <w:tab/>
    </w:r>
    <w:r w:rsidRPr="00311D5E">
      <w:rPr>
        <w:rFonts w:ascii="Arial" w:hAnsi="Arial" w:cs="Arial"/>
        <w:sz w:val="16"/>
      </w:rPr>
      <w:t xml:space="preserve">Page </w:t>
    </w:r>
    <w:r w:rsidRPr="00311D5E">
      <w:rPr>
        <w:rFonts w:ascii="Arial" w:hAnsi="Arial" w:cs="Arial"/>
        <w:sz w:val="16"/>
      </w:rPr>
      <w:fldChar w:fldCharType="begin"/>
    </w:r>
    <w:r w:rsidRPr="00311D5E">
      <w:rPr>
        <w:rFonts w:ascii="Arial" w:hAnsi="Arial" w:cs="Arial"/>
        <w:sz w:val="16"/>
      </w:rPr>
      <w:instrText xml:space="preserve"> PAGE </w:instrText>
    </w:r>
    <w:r w:rsidRPr="00311D5E">
      <w:rPr>
        <w:rFonts w:ascii="Arial" w:hAnsi="Arial" w:cs="Arial"/>
        <w:sz w:val="16"/>
      </w:rPr>
      <w:fldChar w:fldCharType="separate"/>
    </w:r>
    <w:r w:rsidRPr="00311D5E">
      <w:rPr>
        <w:rFonts w:ascii="Arial" w:hAnsi="Arial" w:cs="Arial"/>
        <w:sz w:val="16"/>
      </w:rPr>
      <w:t>1</w:t>
    </w:r>
    <w:r w:rsidRPr="00311D5E">
      <w:rPr>
        <w:rFonts w:ascii="Arial" w:hAnsi="Arial" w:cs="Arial"/>
        <w:sz w:val="16"/>
      </w:rPr>
      <w:fldChar w:fldCharType="end"/>
    </w:r>
    <w:r w:rsidRPr="00311D5E">
      <w:rPr>
        <w:rFonts w:ascii="Arial" w:hAnsi="Arial" w:cs="Arial"/>
        <w:sz w:val="16"/>
      </w:rPr>
      <w:t xml:space="preserve"> of </w:t>
    </w:r>
    <w:r w:rsidRPr="00311D5E">
      <w:rPr>
        <w:rFonts w:ascii="Arial" w:hAnsi="Arial" w:cs="Arial"/>
        <w:sz w:val="16"/>
      </w:rPr>
      <w:fldChar w:fldCharType="begin"/>
    </w:r>
    <w:r w:rsidRPr="00311D5E">
      <w:rPr>
        <w:rFonts w:ascii="Arial" w:hAnsi="Arial" w:cs="Arial"/>
        <w:sz w:val="16"/>
      </w:rPr>
      <w:instrText xml:space="preserve"> NUMPAGES </w:instrText>
    </w:r>
    <w:r w:rsidRPr="00311D5E">
      <w:rPr>
        <w:rFonts w:ascii="Arial" w:hAnsi="Arial" w:cs="Arial"/>
        <w:sz w:val="16"/>
      </w:rPr>
      <w:fldChar w:fldCharType="separate"/>
    </w:r>
    <w:r w:rsidRPr="00311D5E">
      <w:rPr>
        <w:rFonts w:ascii="Arial" w:hAnsi="Arial" w:cs="Arial"/>
        <w:sz w:val="16"/>
      </w:rPr>
      <w:t>51</w:t>
    </w:r>
    <w:r w:rsidRPr="00311D5E">
      <w:rPr>
        <w:rFonts w:ascii="Arial" w:hAnsi="Arial"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A5A4" w14:textId="77777777" w:rsidR="00B00C48" w:rsidRDefault="00B00C48">
      <w:r>
        <w:separator/>
      </w:r>
    </w:p>
  </w:footnote>
  <w:footnote w:type="continuationSeparator" w:id="0">
    <w:p w14:paraId="4CE822BE" w14:textId="77777777" w:rsidR="00B00C48" w:rsidRDefault="00B0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152"/>
    <w:multiLevelType w:val="hybridMultilevel"/>
    <w:tmpl w:val="8CC4B562"/>
    <w:lvl w:ilvl="0" w:tplc="1C6CC4C6">
      <w:start w:val="1"/>
      <w:numFmt w:val="lowerLetter"/>
      <w:lvlText w:val="%1."/>
      <w:lvlJc w:val="left"/>
      <w:pPr>
        <w:ind w:left="360" w:hanging="360"/>
      </w:pPr>
      <w:rPr>
        <w:b w:val="0"/>
        <w:bCs w:val="0"/>
        <w:u w:val="single"/>
      </w:rPr>
    </w:lvl>
    <w:lvl w:ilvl="1" w:tplc="29A63C26">
      <w:start w:val="1"/>
      <w:numFmt w:val="lowerLetter"/>
      <w:lvlText w:val="(%2)"/>
      <w:lvlJc w:val="left"/>
      <w:pPr>
        <w:ind w:left="1080" w:hanging="360"/>
      </w:pPr>
      <w:rPr>
        <w:rFonts w:hint="default"/>
        <w:i w:val="0"/>
        <w:iCs/>
      </w:rPr>
    </w:lvl>
    <w:lvl w:ilvl="2" w:tplc="491E81B6">
      <w:start w:val="1"/>
      <w:numFmt w:val="lowerLetter"/>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B2B03"/>
    <w:multiLevelType w:val="hybridMultilevel"/>
    <w:tmpl w:val="A84639D6"/>
    <w:lvl w:ilvl="0" w:tplc="12BCFC0C">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B4E72A8"/>
    <w:multiLevelType w:val="hybridMultilevel"/>
    <w:tmpl w:val="6ACA6472"/>
    <w:lvl w:ilvl="0" w:tplc="0A2CB8AC">
      <w:start w:val="1"/>
      <w:numFmt w:val="lowerLetter"/>
      <w:lvlText w:val="%1."/>
      <w:lvlJc w:val="left"/>
      <w:pPr>
        <w:ind w:left="720" w:hanging="360"/>
      </w:pPr>
      <w:rPr>
        <w:u w:val="single"/>
      </w:r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2A94"/>
    <w:multiLevelType w:val="hybridMultilevel"/>
    <w:tmpl w:val="DE1429A2"/>
    <w:lvl w:ilvl="0" w:tplc="1FF2D670">
      <w:start w:val="1"/>
      <w:numFmt w:val="decimal"/>
      <w:lvlText w:val="%1."/>
      <w:lvlJc w:val="left"/>
      <w:pPr>
        <w:ind w:left="1080" w:hanging="360"/>
      </w:pPr>
      <w:rPr>
        <w:rFonts w:hint="default"/>
        <w:b w:val="0"/>
        <w:i/>
        <w:strike w:val="0"/>
        <w:u w:val="non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5" w15:restartNumberingAfterBreak="0">
    <w:nsid w:val="10A67151"/>
    <w:multiLevelType w:val="hybridMultilevel"/>
    <w:tmpl w:val="1CC87C78"/>
    <w:lvl w:ilvl="0" w:tplc="87346B0C">
      <w:start w:val="1"/>
      <w:numFmt w:val="decimal"/>
      <w:lvlText w:val="%1."/>
      <w:lvlJc w:val="left"/>
      <w:pPr>
        <w:ind w:left="108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9139D"/>
    <w:multiLevelType w:val="hybridMultilevel"/>
    <w:tmpl w:val="8BCC95AE"/>
    <w:lvl w:ilvl="0" w:tplc="ADAC259E">
      <w:start w:val="1"/>
      <w:numFmt w:val="lowerLetter"/>
      <w:lvlText w:val="(%1)"/>
      <w:lvlJc w:val="left"/>
      <w:pPr>
        <w:ind w:left="720" w:hanging="360"/>
      </w:pPr>
      <w:rPr>
        <w:rFonts w:cs="Times New Roman"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3DB9"/>
    <w:multiLevelType w:val="hybridMultilevel"/>
    <w:tmpl w:val="5E787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444185"/>
    <w:multiLevelType w:val="hybridMultilevel"/>
    <w:tmpl w:val="A9C44120"/>
    <w:lvl w:ilvl="0" w:tplc="1F2E821C">
      <w:start w:val="1"/>
      <w:numFmt w:val="decimal"/>
      <w:lvlText w:val="%1."/>
      <w:lvlJc w:val="left"/>
      <w:pPr>
        <w:ind w:left="1800" w:hanging="360"/>
      </w:pPr>
      <w:rPr>
        <w:b w:val="0"/>
        <w:i/>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061B"/>
    <w:multiLevelType w:val="hybridMultilevel"/>
    <w:tmpl w:val="5554D3FA"/>
    <w:lvl w:ilvl="0" w:tplc="0409000F">
      <w:start w:val="1"/>
      <w:numFmt w:val="decimal"/>
      <w:lvlText w:val="%1."/>
      <w:lvlJc w:val="left"/>
      <w:pPr>
        <w:ind w:left="720" w:hanging="360"/>
      </w:p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63C15"/>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E227D8E"/>
    <w:multiLevelType w:val="hybridMultilevel"/>
    <w:tmpl w:val="EA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1E02C2"/>
    <w:multiLevelType w:val="hybridMultilevel"/>
    <w:tmpl w:val="F482E8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20DAB"/>
    <w:multiLevelType w:val="hybridMultilevel"/>
    <w:tmpl w:val="9120FE0E"/>
    <w:lvl w:ilvl="0" w:tplc="5AA84E04">
      <w:start w:val="4"/>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152D3"/>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3E3AEC"/>
    <w:multiLevelType w:val="hybridMultilevel"/>
    <w:tmpl w:val="66C0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AC3B83"/>
    <w:multiLevelType w:val="hybridMultilevel"/>
    <w:tmpl w:val="F0D81C4E"/>
    <w:lvl w:ilvl="0" w:tplc="FE5CAA88">
      <w:start w:val="3"/>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50F68BD"/>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4D7E63"/>
    <w:multiLevelType w:val="hybridMultilevel"/>
    <w:tmpl w:val="491C1724"/>
    <w:lvl w:ilvl="0" w:tplc="9B16377E">
      <w:start w:val="3"/>
      <w:numFmt w:val="decimal"/>
      <w:lvlText w:val="%1."/>
      <w:lvlJc w:val="left"/>
      <w:pPr>
        <w:ind w:left="1080" w:hanging="360"/>
      </w:pPr>
      <w:rPr>
        <w:rFonts w:hint="default"/>
        <w:b w:val="0"/>
        <w:bCs w:val="0"/>
        <w:strike w:val="0"/>
      </w:rPr>
    </w:lvl>
    <w:lvl w:ilvl="1" w:tplc="48CE5B42">
      <w:start w:val="1"/>
      <w:numFmt w:val="decimal"/>
      <w:lvlText w:val="%2."/>
      <w:lvlJc w:val="left"/>
      <w:pPr>
        <w:ind w:left="540" w:hanging="360"/>
      </w:pPr>
      <w:rPr>
        <w:rFonts w:hint="default"/>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26" w15:restartNumberingAfterBreak="0">
    <w:nsid w:val="626F0ED3"/>
    <w:multiLevelType w:val="hybridMultilevel"/>
    <w:tmpl w:val="3F900A2A"/>
    <w:lvl w:ilvl="0" w:tplc="304084CE">
      <w:start w:val="2"/>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3DF3CAF"/>
    <w:multiLevelType w:val="hybridMultilevel"/>
    <w:tmpl w:val="5B182080"/>
    <w:lvl w:ilvl="0" w:tplc="9510FDA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53E9E"/>
    <w:multiLevelType w:val="hybridMultilevel"/>
    <w:tmpl w:val="FCAA9A4C"/>
    <w:lvl w:ilvl="0" w:tplc="04090019">
      <w:start w:val="1"/>
      <w:numFmt w:val="lowerLetter"/>
      <w:lvlText w:val="%1."/>
      <w:lvlJc w:val="left"/>
      <w:pPr>
        <w:ind w:left="1440" w:hanging="360"/>
      </w:pPr>
      <w:rPr>
        <w:rFonts w:hint="default"/>
        <w:i/>
        <w:color w:val="auto"/>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831E5F"/>
    <w:multiLevelType w:val="hybridMultilevel"/>
    <w:tmpl w:val="4CAA9C98"/>
    <w:lvl w:ilvl="0" w:tplc="8E6660F2">
      <w:start w:val="4"/>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82B23"/>
    <w:multiLevelType w:val="hybridMultilevel"/>
    <w:tmpl w:val="9A0073C0"/>
    <w:lvl w:ilvl="0" w:tplc="5F5E2CC8">
      <w:start w:val="1"/>
      <w:numFmt w:val="decimal"/>
      <w:lvlText w:val="%1."/>
      <w:lvlJc w:val="left"/>
      <w:pPr>
        <w:ind w:left="1080" w:hanging="360"/>
      </w:pPr>
      <w:rPr>
        <w:b w:val="0"/>
        <w:i/>
        <w:strike w:val="0"/>
      </w:rPr>
    </w:lvl>
    <w:lvl w:ilvl="1" w:tplc="1F2E821C">
      <w:start w:val="1"/>
      <w:numFmt w:val="decimal"/>
      <w:lvlText w:val="%2."/>
      <w:lvlJc w:val="left"/>
      <w:pPr>
        <w:ind w:left="1800" w:hanging="360"/>
      </w:pPr>
      <w:rPr>
        <w:b w:val="0"/>
        <w:i/>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9024D4"/>
    <w:multiLevelType w:val="hybridMultilevel"/>
    <w:tmpl w:val="16E470D8"/>
    <w:lvl w:ilvl="0" w:tplc="1FCC1FC8">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77BD616D"/>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3"/>
  </w:num>
  <w:num w:numId="2">
    <w:abstractNumId w:val="19"/>
  </w:num>
  <w:num w:numId="3">
    <w:abstractNumId w:val="23"/>
  </w:num>
  <w:num w:numId="4">
    <w:abstractNumId w:val="12"/>
  </w:num>
  <w:num w:numId="5">
    <w:abstractNumId w:val="15"/>
  </w:num>
  <w:num w:numId="6">
    <w:abstractNumId w:val="28"/>
  </w:num>
  <w:num w:numId="7">
    <w:abstractNumId w:val="4"/>
  </w:num>
  <w:num w:numId="8">
    <w:abstractNumId w:val="32"/>
  </w:num>
  <w:num w:numId="9">
    <w:abstractNumId w:val="9"/>
  </w:num>
  <w:num w:numId="10">
    <w:abstractNumId w:val="30"/>
  </w:num>
  <w:num w:numId="11">
    <w:abstractNumId w:val="17"/>
  </w:num>
  <w:num w:numId="12">
    <w:abstractNumId w:val="14"/>
  </w:num>
  <w:num w:numId="13">
    <w:abstractNumId w:val="24"/>
  </w:num>
  <w:num w:numId="14">
    <w:abstractNumId w:val="2"/>
  </w:num>
  <w:num w:numId="15">
    <w:abstractNumId w:val="6"/>
  </w:num>
  <w:num w:numId="16">
    <w:abstractNumId w:val="25"/>
  </w:num>
  <w:num w:numId="17">
    <w:abstractNumId w:val="11"/>
  </w:num>
  <w:num w:numId="18">
    <w:abstractNumId w:val="18"/>
  </w:num>
  <w:num w:numId="19">
    <w:abstractNumId w:val="29"/>
  </w:num>
  <w:num w:numId="20">
    <w:abstractNumId w:val="7"/>
  </w:num>
  <w:num w:numId="21">
    <w:abstractNumId w:val="8"/>
  </w:num>
  <w:num w:numId="22">
    <w:abstractNumId w:val="22"/>
  </w:num>
  <w:num w:numId="23">
    <w:abstractNumId w:val="10"/>
  </w:num>
  <w:num w:numId="24">
    <w:abstractNumId w:val="20"/>
  </w:num>
  <w:num w:numId="25">
    <w:abstractNumId w:val="27"/>
  </w:num>
  <w:num w:numId="26">
    <w:abstractNumId w:val="1"/>
  </w:num>
  <w:num w:numId="27">
    <w:abstractNumId w:val="26"/>
  </w:num>
  <w:num w:numId="28">
    <w:abstractNumId w:val="34"/>
  </w:num>
  <w:num w:numId="29">
    <w:abstractNumId w:val="16"/>
  </w:num>
  <w:num w:numId="30">
    <w:abstractNumId w:val="33"/>
  </w:num>
  <w:num w:numId="31">
    <w:abstractNumId w:val="31"/>
  </w:num>
  <w:num w:numId="32">
    <w:abstractNumId w:val="5"/>
  </w:num>
  <w:num w:numId="33">
    <w:abstractNumId w:val="0"/>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027D"/>
    <w:rsid w:val="00023B9A"/>
    <w:rsid w:val="000257AD"/>
    <w:rsid w:val="000B2D67"/>
    <w:rsid w:val="000B33E0"/>
    <w:rsid w:val="000C5682"/>
    <w:rsid w:val="000E24B4"/>
    <w:rsid w:val="000F2EEE"/>
    <w:rsid w:val="000F52D2"/>
    <w:rsid w:val="000F6D3A"/>
    <w:rsid w:val="001116F4"/>
    <w:rsid w:val="00114FE0"/>
    <w:rsid w:val="0011511B"/>
    <w:rsid w:val="00123F82"/>
    <w:rsid w:val="001362F4"/>
    <w:rsid w:val="0017531B"/>
    <w:rsid w:val="00175449"/>
    <w:rsid w:val="001845B6"/>
    <w:rsid w:val="001A4A03"/>
    <w:rsid w:val="001D5566"/>
    <w:rsid w:val="001D6710"/>
    <w:rsid w:val="001E635B"/>
    <w:rsid w:val="001F2EFE"/>
    <w:rsid w:val="00210507"/>
    <w:rsid w:val="00234A84"/>
    <w:rsid w:val="00235B37"/>
    <w:rsid w:val="002367DC"/>
    <w:rsid w:val="00261CC1"/>
    <w:rsid w:val="00266551"/>
    <w:rsid w:val="00272412"/>
    <w:rsid w:val="0029086C"/>
    <w:rsid w:val="002A0905"/>
    <w:rsid w:val="002A2E5F"/>
    <w:rsid w:val="002B2161"/>
    <w:rsid w:val="002D3F86"/>
    <w:rsid w:val="002D5E4A"/>
    <w:rsid w:val="002F1359"/>
    <w:rsid w:val="002F57B4"/>
    <w:rsid w:val="0030639B"/>
    <w:rsid w:val="00311D5E"/>
    <w:rsid w:val="003324BE"/>
    <w:rsid w:val="0037506B"/>
    <w:rsid w:val="00376ADA"/>
    <w:rsid w:val="00391B17"/>
    <w:rsid w:val="00393A2A"/>
    <w:rsid w:val="003942B6"/>
    <w:rsid w:val="003D3AC6"/>
    <w:rsid w:val="003D3B3F"/>
    <w:rsid w:val="003D46A3"/>
    <w:rsid w:val="003E10D8"/>
    <w:rsid w:val="003E1AB0"/>
    <w:rsid w:val="003E38B7"/>
    <w:rsid w:val="003E50AF"/>
    <w:rsid w:val="00433E49"/>
    <w:rsid w:val="00442254"/>
    <w:rsid w:val="0044593B"/>
    <w:rsid w:val="00454407"/>
    <w:rsid w:val="00463BB2"/>
    <w:rsid w:val="004B2AB9"/>
    <w:rsid w:val="004B3D27"/>
    <w:rsid w:val="004B48D5"/>
    <w:rsid w:val="004C48A0"/>
    <w:rsid w:val="004E0A40"/>
    <w:rsid w:val="004E462A"/>
    <w:rsid w:val="00500D7B"/>
    <w:rsid w:val="00507A40"/>
    <w:rsid w:val="0056270A"/>
    <w:rsid w:val="00563190"/>
    <w:rsid w:val="005B5184"/>
    <w:rsid w:val="005D2DCC"/>
    <w:rsid w:val="005E07A0"/>
    <w:rsid w:val="005E162F"/>
    <w:rsid w:val="005E3407"/>
    <w:rsid w:val="005F1F14"/>
    <w:rsid w:val="005F2C9B"/>
    <w:rsid w:val="005F696F"/>
    <w:rsid w:val="0060618C"/>
    <w:rsid w:val="0061175B"/>
    <w:rsid w:val="00611D15"/>
    <w:rsid w:val="006169B9"/>
    <w:rsid w:val="00616CEE"/>
    <w:rsid w:val="00631F79"/>
    <w:rsid w:val="00660710"/>
    <w:rsid w:val="006721FC"/>
    <w:rsid w:val="00675E1D"/>
    <w:rsid w:val="006930B5"/>
    <w:rsid w:val="006B5A93"/>
    <w:rsid w:val="006B747C"/>
    <w:rsid w:val="006F2DC8"/>
    <w:rsid w:val="00703DF0"/>
    <w:rsid w:val="0070740F"/>
    <w:rsid w:val="007421CD"/>
    <w:rsid w:val="00762368"/>
    <w:rsid w:val="00767766"/>
    <w:rsid w:val="00776FA8"/>
    <w:rsid w:val="00786248"/>
    <w:rsid w:val="007915D5"/>
    <w:rsid w:val="007A674B"/>
    <w:rsid w:val="007C04EF"/>
    <w:rsid w:val="007C4832"/>
    <w:rsid w:val="007E6A6C"/>
    <w:rsid w:val="00807837"/>
    <w:rsid w:val="0081299A"/>
    <w:rsid w:val="00855D7E"/>
    <w:rsid w:val="00862625"/>
    <w:rsid w:val="00874876"/>
    <w:rsid w:val="008A2AC5"/>
    <w:rsid w:val="008A3DD5"/>
    <w:rsid w:val="008A63C7"/>
    <w:rsid w:val="008E36A8"/>
    <w:rsid w:val="00923E68"/>
    <w:rsid w:val="00926738"/>
    <w:rsid w:val="0092735E"/>
    <w:rsid w:val="00933897"/>
    <w:rsid w:val="009462E9"/>
    <w:rsid w:val="009555AF"/>
    <w:rsid w:val="00995899"/>
    <w:rsid w:val="009965D8"/>
    <w:rsid w:val="009A2B79"/>
    <w:rsid w:val="009A693A"/>
    <w:rsid w:val="009B40F9"/>
    <w:rsid w:val="009D0D44"/>
    <w:rsid w:val="009D10AD"/>
    <w:rsid w:val="009E0E79"/>
    <w:rsid w:val="009E6B12"/>
    <w:rsid w:val="00A07EE6"/>
    <w:rsid w:val="00A138AA"/>
    <w:rsid w:val="00A24FD8"/>
    <w:rsid w:val="00A37361"/>
    <w:rsid w:val="00A60CA1"/>
    <w:rsid w:val="00A63EF9"/>
    <w:rsid w:val="00A813A1"/>
    <w:rsid w:val="00AC1F10"/>
    <w:rsid w:val="00AD37AB"/>
    <w:rsid w:val="00AF4D10"/>
    <w:rsid w:val="00AF4E96"/>
    <w:rsid w:val="00B00C48"/>
    <w:rsid w:val="00B12576"/>
    <w:rsid w:val="00B435D5"/>
    <w:rsid w:val="00B53C67"/>
    <w:rsid w:val="00B67AA1"/>
    <w:rsid w:val="00B935A5"/>
    <w:rsid w:val="00BA18A6"/>
    <w:rsid w:val="00BA4941"/>
    <w:rsid w:val="00BB6272"/>
    <w:rsid w:val="00BC4125"/>
    <w:rsid w:val="00BF32DD"/>
    <w:rsid w:val="00BF3E81"/>
    <w:rsid w:val="00C36475"/>
    <w:rsid w:val="00C44C36"/>
    <w:rsid w:val="00C6643B"/>
    <w:rsid w:val="00C67B72"/>
    <w:rsid w:val="00CA57BE"/>
    <w:rsid w:val="00CB01EB"/>
    <w:rsid w:val="00CB12FC"/>
    <w:rsid w:val="00CB69CE"/>
    <w:rsid w:val="00CD5E45"/>
    <w:rsid w:val="00CF2161"/>
    <w:rsid w:val="00CF3372"/>
    <w:rsid w:val="00D04B58"/>
    <w:rsid w:val="00D13D82"/>
    <w:rsid w:val="00D30882"/>
    <w:rsid w:val="00D67CC8"/>
    <w:rsid w:val="00D91AE2"/>
    <w:rsid w:val="00D94BF1"/>
    <w:rsid w:val="00DB2E73"/>
    <w:rsid w:val="00DD1947"/>
    <w:rsid w:val="00E016BA"/>
    <w:rsid w:val="00E22041"/>
    <w:rsid w:val="00E3628E"/>
    <w:rsid w:val="00E3790F"/>
    <w:rsid w:val="00E45D23"/>
    <w:rsid w:val="00E5214A"/>
    <w:rsid w:val="00E53D35"/>
    <w:rsid w:val="00E957EF"/>
    <w:rsid w:val="00EA1267"/>
    <w:rsid w:val="00EA55B4"/>
    <w:rsid w:val="00EA72A1"/>
    <w:rsid w:val="00EC0A76"/>
    <w:rsid w:val="00EC1406"/>
    <w:rsid w:val="00ED27E1"/>
    <w:rsid w:val="00EE5614"/>
    <w:rsid w:val="00EF26E2"/>
    <w:rsid w:val="00F152F2"/>
    <w:rsid w:val="00F17139"/>
    <w:rsid w:val="00F22CD9"/>
    <w:rsid w:val="00F41B42"/>
    <w:rsid w:val="00F74CCA"/>
    <w:rsid w:val="00F768B4"/>
    <w:rsid w:val="00F87B9E"/>
    <w:rsid w:val="00F97C83"/>
    <w:rsid w:val="00FB34BE"/>
    <w:rsid w:val="00FC31D0"/>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78624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422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OSHPD 04-21-15-DayET-PT2V1</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04-21-15-DayET-PT2V1</dc:title>
  <dc:creator>CBSC</dc:creator>
  <cp:lastModifiedBy>Brauzman, Irina@DGS</cp:lastModifiedBy>
  <cp:revision>6</cp:revision>
  <cp:lastPrinted>2020-05-13T17:58:00Z</cp:lastPrinted>
  <dcterms:created xsi:type="dcterms:W3CDTF">2021-11-15T22:48:00Z</dcterms:created>
  <dcterms:modified xsi:type="dcterms:W3CDTF">2021-11-16T19:21:00Z</dcterms:modified>
</cp:coreProperties>
</file>