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F749" w14:textId="77777777" w:rsidR="00EF5634" w:rsidRPr="00BE1B4C" w:rsidRDefault="00EF5634" w:rsidP="00EF5634">
      <w:pPr>
        <w:pStyle w:val="Title"/>
        <w:spacing w:after="240"/>
        <w:rPr>
          <w:rFonts w:ascii="Arial" w:hAnsi="Arial" w:cs="Arial"/>
          <w:b/>
          <w:bCs/>
          <w:sz w:val="24"/>
          <w:szCs w:val="24"/>
        </w:rPr>
      </w:pPr>
      <w:r w:rsidRPr="00BE1B4C">
        <w:rPr>
          <w:rFonts w:ascii="Arial" w:hAnsi="Arial" w:cs="Arial"/>
          <w:b/>
          <w:bCs/>
          <w:sz w:val="24"/>
          <w:szCs w:val="24"/>
        </w:rPr>
        <w:t>Public Comment on Proposed Building Standards</w:t>
      </w:r>
      <w:r w:rsidRPr="00BE1B4C">
        <w:rPr>
          <w:rFonts w:ascii="Arial" w:hAnsi="Arial" w:cs="Arial"/>
          <w:b/>
          <w:bCs/>
          <w:sz w:val="24"/>
          <w:szCs w:val="24"/>
        </w:rPr>
        <w:br/>
        <w:t>For Publication in Title 24, California Code of Regulations</w:t>
      </w:r>
    </w:p>
    <w:p w14:paraId="59A39611" w14:textId="77777777" w:rsidR="00EF5634" w:rsidRPr="00BE1B4C" w:rsidRDefault="00EF5634" w:rsidP="00EF5634">
      <w:pPr>
        <w:rPr>
          <w:rFonts w:ascii="Arial" w:hAnsi="Arial" w:cs="Arial"/>
          <w:sz w:val="24"/>
          <w:szCs w:val="24"/>
        </w:rPr>
      </w:pPr>
      <w:r w:rsidRPr="00BE1B4C">
        <w:rPr>
          <w:rFonts w:ascii="Arial" w:hAnsi="Arial" w:cs="Arial"/>
          <w:sz w:val="24"/>
          <w:szCs w:val="24"/>
        </w:rPr>
        <w:t xml:space="preserve">If using assistive technology, please adjust your settings to recognize underline, </w:t>
      </w:r>
      <w:proofErr w:type="gramStart"/>
      <w:r w:rsidRPr="00BE1B4C">
        <w:rPr>
          <w:rFonts w:ascii="Arial" w:hAnsi="Arial" w:cs="Arial"/>
          <w:sz w:val="24"/>
          <w:szCs w:val="24"/>
        </w:rPr>
        <w:t>strikeout</w:t>
      </w:r>
      <w:proofErr w:type="gramEnd"/>
      <w:r w:rsidRPr="00BE1B4C">
        <w:rPr>
          <w:rFonts w:ascii="Arial" w:hAnsi="Arial" w:cs="Arial"/>
          <w:sz w:val="24"/>
          <w:szCs w:val="24"/>
        </w:rPr>
        <w:t xml:space="preserve"> and ellipsis.</w:t>
      </w:r>
    </w:p>
    <w:p w14:paraId="73C0EF40" w14:textId="77777777" w:rsidR="00EF5634" w:rsidRPr="00BE1B4C" w:rsidRDefault="00EF5634" w:rsidP="00EF5634">
      <w:pPr>
        <w:pStyle w:val="Heading1"/>
        <w:rPr>
          <w:rFonts w:ascii="Arial" w:hAnsi="Arial" w:cs="Arial"/>
          <w:b/>
          <w:bCs/>
          <w:color w:val="auto"/>
          <w:sz w:val="24"/>
          <w:szCs w:val="24"/>
        </w:rPr>
      </w:pPr>
      <w:r w:rsidRPr="00BE1B4C">
        <w:rPr>
          <w:rFonts w:ascii="Arial" w:hAnsi="Arial" w:cs="Arial"/>
          <w:b/>
          <w:bCs/>
          <w:color w:val="auto"/>
          <w:sz w:val="24"/>
          <w:szCs w:val="24"/>
        </w:rPr>
        <w:t>Commenter Contact Information:</w:t>
      </w:r>
    </w:p>
    <w:p w14:paraId="4BA76BBA" w14:textId="77777777" w:rsidR="00EF5634" w:rsidRPr="00BE1B4C" w:rsidRDefault="00EF5634" w:rsidP="00EF5634">
      <w:pPr>
        <w:spacing w:after="240" w:line="240" w:lineRule="auto"/>
        <w:ind w:left="360"/>
        <w:rPr>
          <w:rFonts w:ascii="Arial" w:hAnsi="Arial" w:cs="Arial"/>
          <w:sz w:val="24"/>
          <w:szCs w:val="24"/>
        </w:rPr>
      </w:pPr>
      <w:r w:rsidRPr="00BE1B4C">
        <w:rPr>
          <w:rFonts w:ascii="Arial" w:hAnsi="Arial" w:cs="Arial"/>
          <w:sz w:val="24"/>
          <w:szCs w:val="24"/>
        </w:rPr>
        <w:t>Ida A. Clair</w:t>
      </w:r>
      <w:r w:rsidRPr="00BE1B4C">
        <w:rPr>
          <w:rFonts w:ascii="Arial" w:hAnsi="Arial" w:cs="Arial"/>
          <w:sz w:val="24"/>
          <w:szCs w:val="24"/>
        </w:rPr>
        <w:br/>
        <w:t>September 23, 2021</w:t>
      </w:r>
      <w:r w:rsidRPr="00BE1B4C">
        <w:rPr>
          <w:rFonts w:ascii="Arial" w:hAnsi="Arial" w:cs="Arial"/>
          <w:sz w:val="24"/>
          <w:szCs w:val="24"/>
        </w:rPr>
        <w:br/>
        <w:t>Division of the State Architect (DSA)</w:t>
      </w:r>
    </w:p>
    <w:p w14:paraId="70DC939C" w14:textId="77777777" w:rsidR="00EF5634" w:rsidRPr="00BE1B4C" w:rsidRDefault="00EF5634" w:rsidP="00EF5634">
      <w:pPr>
        <w:pStyle w:val="Heading1"/>
        <w:rPr>
          <w:rFonts w:ascii="Arial" w:hAnsi="Arial" w:cs="Arial"/>
          <w:b/>
          <w:bCs/>
          <w:color w:val="auto"/>
          <w:sz w:val="24"/>
          <w:szCs w:val="24"/>
        </w:rPr>
      </w:pPr>
      <w:r w:rsidRPr="00BE1B4C">
        <w:rPr>
          <w:rFonts w:ascii="Arial" w:hAnsi="Arial" w:cs="Arial"/>
          <w:b/>
          <w:bCs/>
          <w:color w:val="auto"/>
          <w:sz w:val="24"/>
          <w:szCs w:val="24"/>
        </w:rPr>
        <w:t>Mailing Address:</w:t>
      </w:r>
    </w:p>
    <w:p w14:paraId="5917CE18" w14:textId="77777777" w:rsidR="00EF5634" w:rsidRPr="00BE1B4C" w:rsidRDefault="00EF5634" w:rsidP="00EF5634">
      <w:pPr>
        <w:spacing w:after="240" w:line="240" w:lineRule="auto"/>
        <w:ind w:left="360"/>
        <w:rPr>
          <w:rFonts w:ascii="Arial" w:hAnsi="Arial" w:cs="Arial"/>
          <w:sz w:val="24"/>
          <w:szCs w:val="24"/>
        </w:rPr>
      </w:pPr>
      <w:r w:rsidRPr="00BE1B4C">
        <w:rPr>
          <w:rFonts w:ascii="Arial" w:hAnsi="Arial" w:cs="Arial"/>
          <w:sz w:val="24"/>
          <w:szCs w:val="24"/>
        </w:rPr>
        <w:t>1102 Q Street, Suite 5100</w:t>
      </w:r>
      <w:r w:rsidRPr="00BE1B4C">
        <w:rPr>
          <w:rFonts w:ascii="Arial" w:hAnsi="Arial" w:cs="Arial"/>
          <w:sz w:val="24"/>
          <w:szCs w:val="24"/>
        </w:rPr>
        <w:br/>
        <w:t>Sacramento, CA 95811</w:t>
      </w:r>
      <w:r w:rsidRPr="00BE1B4C">
        <w:rPr>
          <w:rFonts w:ascii="Arial" w:hAnsi="Arial" w:cs="Arial"/>
          <w:sz w:val="24"/>
          <w:szCs w:val="24"/>
        </w:rPr>
        <w:br/>
        <w:t>916.322.2490</w:t>
      </w:r>
      <w:r w:rsidRPr="00BE1B4C">
        <w:rPr>
          <w:rFonts w:ascii="Arial" w:hAnsi="Arial" w:cs="Arial"/>
          <w:sz w:val="24"/>
          <w:szCs w:val="24"/>
        </w:rPr>
        <w:br/>
      </w:r>
      <w:hyperlink r:id="rId8" w:history="1">
        <w:r w:rsidRPr="00BE1B4C">
          <w:rPr>
            <w:rStyle w:val="Hyperlink"/>
            <w:rFonts w:ascii="Arial" w:hAnsi="Arial" w:cs="Arial"/>
            <w:sz w:val="24"/>
            <w:szCs w:val="24"/>
          </w:rPr>
          <w:t>ida.clair@dgs.ca.gov</w:t>
        </w:r>
      </w:hyperlink>
    </w:p>
    <w:p w14:paraId="014A4378" w14:textId="77777777" w:rsidR="00EF5634" w:rsidRPr="00BE1B4C" w:rsidRDefault="00EF5634" w:rsidP="00EF5634">
      <w:pPr>
        <w:pStyle w:val="Heading1"/>
        <w:spacing w:before="0"/>
        <w:rPr>
          <w:rFonts w:ascii="Arial" w:hAnsi="Arial" w:cs="Arial"/>
          <w:b/>
          <w:bCs/>
          <w:color w:val="auto"/>
          <w:sz w:val="24"/>
          <w:szCs w:val="24"/>
        </w:rPr>
      </w:pPr>
      <w:r w:rsidRPr="00BE1B4C">
        <w:rPr>
          <w:rFonts w:ascii="Arial" w:hAnsi="Arial" w:cs="Arial"/>
          <w:b/>
          <w:bCs/>
          <w:color w:val="auto"/>
          <w:sz w:val="24"/>
          <w:szCs w:val="24"/>
        </w:rPr>
        <w:t>Proposed Building Standard</w:t>
      </w:r>
    </w:p>
    <w:p w14:paraId="190AF06B" w14:textId="7E850B67" w:rsidR="00EF5634" w:rsidRPr="00C71095" w:rsidRDefault="00EF5634" w:rsidP="00EF5634">
      <w:pPr>
        <w:spacing w:after="240" w:line="240" w:lineRule="auto"/>
        <w:ind w:left="360"/>
        <w:rPr>
          <w:rFonts w:ascii="Arial" w:hAnsi="Arial" w:cs="Arial"/>
          <w:sz w:val="24"/>
          <w:szCs w:val="24"/>
        </w:rPr>
      </w:pPr>
      <w:r w:rsidRPr="00710D61">
        <w:rPr>
          <w:rFonts w:ascii="Arial" w:hAnsi="Arial" w:cs="Arial"/>
          <w:sz w:val="24"/>
          <w:szCs w:val="24"/>
        </w:rPr>
        <w:t>Housing and Community Development – HCD 03/21</w:t>
      </w:r>
      <w:r w:rsidRPr="00710D61">
        <w:rPr>
          <w:rFonts w:ascii="Arial" w:hAnsi="Arial" w:cs="Arial"/>
          <w:sz w:val="24"/>
          <w:szCs w:val="24"/>
        </w:rPr>
        <w:br/>
        <w:t>Title 24, Part 11</w:t>
      </w:r>
      <w:r w:rsidRPr="00BE1B4C">
        <w:rPr>
          <w:rFonts w:ascii="Arial" w:hAnsi="Arial" w:cs="Arial"/>
          <w:sz w:val="24"/>
          <w:szCs w:val="24"/>
        </w:rPr>
        <w:br/>
      </w:r>
      <w:r w:rsidRPr="00C71095">
        <w:rPr>
          <w:rFonts w:ascii="Arial" w:hAnsi="Arial" w:cs="Arial"/>
          <w:sz w:val="24"/>
          <w:szCs w:val="24"/>
        </w:rPr>
        <w:t>I</w:t>
      </w:r>
      <w:r w:rsidR="00636D31">
        <w:rPr>
          <w:rFonts w:ascii="Arial" w:hAnsi="Arial" w:cs="Arial"/>
          <w:sz w:val="24"/>
          <w:szCs w:val="24"/>
        </w:rPr>
        <w:t>TEM</w:t>
      </w:r>
      <w:r w:rsidRPr="00C71095">
        <w:rPr>
          <w:rFonts w:ascii="Arial" w:hAnsi="Arial" w:cs="Arial"/>
          <w:sz w:val="24"/>
          <w:szCs w:val="24"/>
        </w:rPr>
        <w:t xml:space="preserve"> 11: Appendix A4, Section A4.106.8.2.1</w:t>
      </w:r>
    </w:p>
    <w:p w14:paraId="53B5F796" w14:textId="77777777" w:rsidR="00EF5634" w:rsidRPr="00BE1B4C" w:rsidRDefault="00EF5634" w:rsidP="00EF5634">
      <w:pPr>
        <w:pStyle w:val="Heading2"/>
        <w:rPr>
          <w:rFonts w:ascii="Arial" w:hAnsi="Arial" w:cs="Arial"/>
          <w:b/>
          <w:bCs/>
          <w:color w:val="auto"/>
          <w:sz w:val="24"/>
          <w:szCs w:val="24"/>
        </w:rPr>
      </w:pPr>
      <w:r w:rsidRPr="00BE1B4C">
        <w:rPr>
          <w:rFonts w:ascii="Arial" w:hAnsi="Arial" w:cs="Arial"/>
          <w:b/>
          <w:bCs/>
          <w:color w:val="auto"/>
          <w:sz w:val="24"/>
          <w:szCs w:val="24"/>
        </w:rPr>
        <w:t>This comment is intended for review during:</w:t>
      </w:r>
    </w:p>
    <w:p w14:paraId="06E81C1C" w14:textId="77777777" w:rsidR="00EF5634" w:rsidRPr="00BE1B4C" w:rsidRDefault="00EF5634" w:rsidP="00EF5634">
      <w:pPr>
        <w:spacing w:after="240" w:line="240" w:lineRule="auto"/>
        <w:ind w:left="360"/>
        <w:rPr>
          <w:rFonts w:ascii="Arial" w:hAnsi="Arial" w:cs="Arial"/>
          <w:sz w:val="24"/>
          <w:szCs w:val="24"/>
        </w:rPr>
      </w:pPr>
      <w:r w:rsidRPr="00BE1B4C">
        <w:rPr>
          <w:rFonts w:ascii="Arial" w:hAnsi="Arial" w:cs="Arial"/>
          <w:sz w:val="24"/>
          <w:szCs w:val="24"/>
        </w:rPr>
        <w:t>45-Day Comment Period</w:t>
      </w:r>
    </w:p>
    <w:p w14:paraId="118B1B77" w14:textId="77777777" w:rsidR="00EF5634" w:rsidRPr="00BE1B4C" w:rsidRDefault="00EF5634" w:rsidP="00EF5634">
      <w:pPr>
        <w:pStyle w:val="Heading2"/>
        <w:rPr>
          <w:rFonts w:ascii="Arial" w:hAnsi="Arial" w:cs="Arial"/>
          <w:b/>
          <w:bCs/>
          <w:color w:val="auto"/>
          <w:sz w:val="24"/>
          <w:szCs w:val="24"/>
        </w:rPr>
      </w:pPr>
      <w:r w:rsidRPr="00BE1B4C">
        <w:rPr>
          <w:rFonts w:ascii="Arial" w:hAnsi="Arial" w:cs="Arial"/>
          <w:b/>
          <w:bCs/>
          <w:color w:val="auto"/>
          <w:sz w:val="24"/>
          <w:szCs w:val="24"/>
        </w:rPr>
        <w:t>Your recommendation based on the criteria of Health and Safety Code Section 18930(a) below:</w:t>
      </w:r>
    </w:p>
    <w:p w14:paraId="20A96E09" w14:textId="77777777" w:rsidR="00EF5634" w:rsidRPr="00BE1B4C" w:rsidRDefault="00EF5634" w:rsidP="00EF5634">
      <w:pPr>
        <w:spacing w:after="240" w:line="240" w:lineRule="auto"/>
        <w:ind w:left="360"/>
        <w:rPr>
          <w:rFonts w:ascii="Arial" w:hAnsi="Arial" w:cs="Arial"/>
          <w:sz w:val="24"/>
          <w:szCs w:val="24"/>
        </w:rPr>
      </w:pPr>
      <w:r w:rsidRPr="00BE1B4C">
        <w:rPr>
          <w:rFonts w:ascii="Arial" w:hAnsi="Arial" w:cs="Arial"/>
          <w:sz w:val="24"/>
          <w:szCs w:val="24"/>
        </w:rPr>
        <w:t>Approve as Amended</w:t>
      </w:r>
    </w:p>
    <w:p w14:paraId="1EEF25E4" w14:textId="77777777" w:rsidR="00EF5634" w:rsidRPr="00BE1B4C" w:rsidRDefault="00EF5634" w:rsidP="00EF5634">
      <w:pPr>
        <w:pStyle w:val="Heading2"/>
        <w:rPr>
          <w:rFonts w:ascii="Arial" w:hAnsi="Arial" w:cs="Arial"/>
          <w:b/>
          <w:bCs/>
          <w:color w:val="auto"/>
          <w:sz w:val="24"/>
          <w:szCs w:val="24"/>
        </w:rPr>
      </w:pPr>
      <w:r w:rsidRPr="00BE1B4C">
        <w:rPr>
          <w:rFonts w:ascii="Arial" w:hAnsi="Arial" w:cs="Arial"/>
          <w:b/>
          <w:bCs/>
          <w:color w:val="auto"/>
          <w:sz w:val="24"/>
          <w:szCs w:val="24"/>
        </w:rPr>
        <w:t>In support of your recommendation above, provide the rationale based on the criteria of Health and Safety Code Section 18930(a) below.  If you recommend anything other than approve, cite the criteria below.  If you oppose a proposed building standard, offer a solution or alternative for the state agency to consider.</w:t>
      </w:r>
    </w:p>
    <w:p w14:paraId="578D4E67" w14:textId="77777777" w:rsidR="00EF5634" w:rsidRDefault="00EF5634" w:rsidP="00EF5634">
      <w:pPr>
        <w:spacing w:after="240" w:line="240" w:lineRule="auto"/>
        <w:ind w:left="360"/>
        <w:rPr>
          <w:rFonts w:ascii="Arial" w:hAnsi="Arial" w:cs="Arial"/>
          <w:sz w:val="24"/>
          <w:szCs w:val="24"/>
        </w:rPr>
      </w:pPr>
      <w:r>
        <w:rPr>
          <w:rFonts w:ascii="Arial" w:hAnsi="Arial" w:cs="Arial"/>
          <w:sz w:val="24"/>
          <w:szCs w:val="24"/>
        </w:rPr>
        <w:t>Comments are</w:t>
      </w:r>
      <w:r w:rsidRPr="00710D61">
        <w:rPr>
          <w:rFonts w:ascii="Arial" w:hAnsi="Arial" w:cs="Arial"/>
          <w:sz w:val="24"/>
          <w:szCs w:val="24"/>
        </w:rPr>
        <w:t xml:space="preserve"> </w:t>
      </w:r>
      <w:r w:rsidRPr="00BE1B4C">
        <w:rPr>
          <w:rFonts w:ascii="Arial" w:hAnsi="Arial" w:cs="Arial"/>
          <w:sz w:val="24"/>
          <w:szCs w:val="24"/>
        </w:rPr>
        <w:t>based on Health and Safety Code Section 18930(a)1.</w:t>
      </w:r>
    </w:p>
    <w:p w14:paraId="6305B68F" w14:textId="2377ED4A" w:rsidR="00EF5634" w:rsidRPr="00BE1B4C" w:rsidRDefault="00EF5634" w:rsidP="00EF5634">
      <w:pPr>
        <w:spacing w:after="240" w:line="240" w:lineRule="auto"/>
        <w:ind w:left="360"/>
        <w:rPr>
          <w:rFonts w:ascii="Arial" w:hAnsi="Arial" w:cs="Arial"/>
          <w:sz w:val="24"/>
          <w:szCs w:val="24"/>
        </w:rPr>
      </w:pPr>
      <w:r w:rsidRPr="00BE1B4C">
        <w:rPr>
          <w:rFonts w:ascii="Arial" w:hAnsi="Arial" w:cs="Arial"/>
          <w:sz w:val="24"/>
          <w:szCs w:val="24"/>
        </w:rPr>
        <w:t xml:space="preserve">DSA supports HCD in this regulatory process to advance electric vehicle charging in multifamily developments, hotels, and motels, and requests edits substantially related to the proposed building standards to maintain consistency with regulations already adopted in the 2019 Title 24, Part 11, related to the applicability of the accessibility provisions of California Building Code Chapter 11B for </w:t>
      </w:r>
      <w:r w:rsidR="005271FF">
        <w:rPr>
          <w:rFonts w:ascii="Arial" w:hAnsi="Arial" w:cs="Arial"/>
          <w:sz w:val="24"/>
          <w:szCs w:val="24"/>
        </w:rPr>
        <w:t xml:space="preserve">electric vehicle charging stations in </w:t>
      </w:r>
      <w:r w:rsidRPr="00BE1B4C">
        <w:rPr>
          <w:rFonts w:ascii="Arial" w:hAnsi="Arial" w:cs="Arial"/>
          <w:sz w:val="24"/>
          <w:szCs w:val="24"/>
        </w:rPr>
        <w:t>public housing, hotels, and motels.</w:t>
      </w:r>
    </w:p>
    <w:p w14:paraId="5473A2B0" w14:textId="3293687A" w:rsidR="004D5B4E" w:rsidRPr="00C71095" w:rsidRDefault="004D5B4E" w:rsidP="00EF5634">
      <w:pPr>
        <w:spacing w:after="240" w:line="240" w:lineRule="auto"/>
        <w:rPr>
          <w:rFonts w:ascii="Arial" w:hAnsi="Arial" w:cs="Arial"/>
          <w:b/>
          <w:bCs/>
          <w:sz w:val="24"/>
          <w:szCs w:val="24"/>
        </w:rPr>
      </w:pPr>
      <w:r w:rsidRPr="00C71095">
        <w:rPr>
          <w:rFonts w:ascii="Arial" w:hAnsi="Arial" w:cs="Arial"/>
          <w:b/>
          <w:bCs/>
          <w:sz w:val="24"/>
          <w:szCs w:val="24"/>
        </w:rPr>
        <w:t>DSA requests amendments to Section A4.106.8.2.1 in the 45-day Express Terms for HCD Title 24 Part 11</w:t>
      </w:r>
    </w:p>
    <w:p w14:paraId="75DFF1EC" w14:textId="77777777" w:rsidR="00317AE7" w:rsidRPr="00C71095" w:rsidRDefault="00317AE7" w:rsidP="00EF5634">
      <w:pPr>
        <w:rPr>
          <w:rFonts w:ascii="Arial" w:hAnsi="Arial" w:cs="Arial"/>
          <w:b/>
          <w:bCs/>
          <w:sz w:val="24"/>
          <w:szCs w:val="24"/>
          <w:u w:val="single"/>
        </w:rPr>
      </w:pPr>
      <w:r w:rsidRPr="00C71095">
        <w:rPr>
          <w:rFonts w:ascii="Arial" w:hAnsi="Arial" w:cs="Arial"/>
          <w:b/>
          <w:bCs/>
          <w:sz w:val="24"/>
          <w:szCs w:val="24"/>
          <w:u w:val="single"/>
        </w:rPr>
        <w:t>A4.106.8.2.1 Multifamily development projects and hotels and motels.</w:t>
      </w:r>
    </w:p>
    <w:p w14:paraId="2B50EA30" w14:textId="77777777" w:rsidR="00317AE7" w:rsidRPr="00C71095" w:rsidRDefault="00317AE7" w:rsidP="00EF5634">
      <w:pPr>
        <w:spacing w:line="240" w:lineRule="auto"/>
        <w:ind w:left="360"/>
        <w:rPr>
          <w:rFonts w:ascii="Arial" w:hAnsi="Arial" w:cs="Arial"/>
          <w:b/>
          <w:bCs/>
          <w:sz w:val="24"/>
          <w:szCs w:val="24"/>
          <w:u w:val="single"/>
        </w:rPr>
      </w:pPr>
      <w:r w:rsidRPr="00C71095">
        <w:rPr>
          <w:rFonts w:ascii="Arial" w:hAnsi="Arial" w:cs="Arial"/>
          <w:b/>
          <w:bCs/>
          <w:sz w:val="24"/>
          <w:szCs w:val="24"/>
          <w:u w:val="single"/>
        </w:rPr>
        <w:lastRenderedPageBreak/>
        <w:t>Tier 1.</w:t>
      </w:r>
    </w:p>
    <w:p w14:paraId="5A350C3A" w14:textId="77777777" w:rsidR="00317AE7" w:rsidRPr="00C71095" w:rsidRDefault="00317AE7" w:rsidP="00EF5634">
      <w:pPr>
        <w:spacing w:line="240" w:lineRule="auto"/>
        <w:ind w:left="720"/>
        <w:rPr>
          <w:rFonts w:ascii="Arial" w:hAnsi="Arial" w:cs="Arial"/>
          <w:sz w:val="24"/>
          <w:szCs w:val="24"/>
          <w:u w:val="single"/>
          <w:shd w:val="clear" w:color="auto" w:fill="FFFFFF"/>
        </w:rPr>
      </w:pPr>
      <w:r w:rsidRPr="00C71095">
        <w:rPr>
          <w:rFonts w:ascii="Arial" w:hAnsi="Arial" w:cs="Arial"/>
          <w:b/>
          <w:bCs/>
          <w:sz w:val="24"/>
          <w:szCs w:val="24"/>
          <w:u w:val="single"/>
          <w:shd w:val="clear" w:color="auto" w:fill="FFFFFF"/>
        </w:rPr>
        <w:t>EV Ready.</w:t>
      </w:r>
      <w:r w:rsidRPr="00C71095">
        <w:rPr>
          <w:rFonts w:ascii="Arial" w:hAnsi="Arial" w:cs="Arial"/>
          <w:sz w:val="24"/>
          <w:szCs w:val="24"/>
          <w:shd w:val="clear" w:color="auto" w:fill="FFFFFF"/>
        </w:rPr>
        <w:t xml:space="preserve"> </w:t>
      </w:r>
      <w:r w:rsidRPr="00C71095">
        <w:rPr>
          <w:rFonts w:ascii="Arial" w:hAnsi="Arial" w:cs="Arial"/>
          <w:sz w:val="24"/>
          <w:szCs w:val="24"/>
          <w:u w:val="single"/>
          <w:shd w:val="clear" w:color="auto" w:fill="FFFFFF"/>
        </w:rPr>
        <w:t>Thirty-five (35)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4022F047" w14:textId="77777777" w:rsidR="00317AE7" w:rsidRPr="00C71095" w:rsidRDefault="00317AE7" w:rsidP="00C71095">
      <w:pPr>
        <w:spacing w:line="240" w:lineRule="auto"/>
        <w:ind w:left="1080"/>
        <w:rPr>
          <w:rFonts w:ascii="Arial" w:hAnsi="Arial" w:cs="Arial"/>
          <w:sz w:val="24"/>
          <w:szCs w:val="24"/>
          <w:u w:val="single"/>
          <w:shd w:val="clear" w:color="auto" w:fill="FFFFFF"/>
        </w:rPr>
      </w:pPr>
      <w:r w:rsidRPr="00C71095">
        <w:rPr>
          <w:rFonts w:ascii="Arial" w:eastAsia="Times New Roman" w:hAnsi="Arial" w:cs="Arial"/>
          <w:b/>
          <w:bCs/>
          <w:sz w:val="24"/>
          <w:szCs w:val="24"/>
          <w:u w:val="single"/>
          <w:shd w:val="clear" w:color="auto" w:fill="FFFFFF"/>
        </w:rPr>
        <w:t>Exception:</w:t>
      </w:r>
      <w:r w:rsidRPr="00C71095">
        <w:rPr>
          <w:rFonts w:ascii="Arial" w:eastAsia="Times New Roman" w:hAnsi="Arial" w:cs="Arial"/>
          <w:sz w:val="24"/>
          <w:szCs w:val="24"/>
          <w:shd w:val="clear" w:color="auto" w:fill="FFFFFF"/>
        </w:rPr>
        <w:t xml:space="preserve"> </w:t>
      </w:r>
      <w:r w:rsidRPr="00C71095">
        <w:rPr>
          <w:rFonts w:ascii="Arial" w:eastAsia="Times New Roman" w:hAnsi="Arial" w:cs="Arial"/>
          <w:sz w:val="24"/>
          <w:szCs w:val="24"/>
          <w:u w:val="single"/>
          <w:shd w:val="clear" w:color="auto" w:fill="FFFFFF"/>
        </w:rPr>
        <w:t>Areas of parking facilities served by parking lifts.</w:t>
      </w:r>
    </w:p>
    <w:p w14:paraId="17689A27" w14:textId="77777777" w:rsidR="00317AE7" w:rsidRPr="00EF5634" w:rsidRDefault="00317AE7" w:rsidP="00EF5634">
      <w:pPr>
        <w:spacing w:line="240" w:lineRule="auto"/>
        <w:ind w:left="720"/>
        <w:rPr>
          <w:rFonts w:ascii="Arial" w:hAnsi="Arial" w:cs="Arial"/>
          <w:dstrike/>
          <w:sz w:val="24"/>
          <w:szCs w:val="24"/>
        </w:rPr>
      </w:pPr>
      <w:r w:rsidRPr="00C71095">
        <w:rPr>
          <w:rFonts w:ascii="Arial" w:hAnsi="Arial" w:cs="Arial"/>
          <w:b/>
          <w:bCs/>
          <w:sz w:val="24"/>
          <w:szCs w:val="24"/>
          <w:u w:val="single"/>
          <w:shd w:val="clear" w:color="auto" w:fill="FFFFFF"/>
        </w:rPr>
        <w:t>EV Chargers for projects with 20 or more dwelling units, s</w:t>
      </w:r>
      <w:r w:rsidRPr="00C71095">
        <w:rPr>
          <w:rFonts w:ascii="Arial" w:hAnsi="Arial" w:cs="Arial"/>
          <w:b/>
          <w:bCs/>
          <w:sz w:val="24"/>
          <w:szCs w:val="24"/>
          <w:u w:val="single"/>
        </w:rPr>
        <w:t>leeping units or guest rooms</w:t>
      </w:r>
      <w:r w:rsidRPr="00C71095">
        <w:rPr>
          <w:rFonts w:ascii="Arial" w:hAnsi="Arial" w:cs="Arial"/>
          <w:b/>
          <w:bCs/>
          <w:sz w:val="24"/>
          <w:szCs w:val="24"/>
          <w:u w:val="single"/>
          <w:shd w:val="clear" w:color="auto" w:fill="FFFFFF"/>
        </w:rPr>
        <w:t>.</w:t>
      </w:r>
      <w:r w:rsidRPr="00C71095">
        <w:rPr>
          <w:rFonts w:ascii="Arial" w:hAnsi="Arial" w:cs="Arial"/>
          <w:sz w:val="24"/>
          <w:szCs w:val="24"/>
          <w:shd w:val="clear" w:color="auto" w:fill="FFFFFF"/>
        </w:rPr>
        <w:t xml:space="preserve"> </w:t>
      </w:r>
      <w:r w:rsidRPr="00C71095">
        <w:rPr>
          <w:rFonts w:ascii="Arial" w:hAnsi="Arial" w:cs="Arial"/>
          <w:sz w:val="24"/>
          <w:szCs w:val="24"/>
          <w:u w:val="single"/>
          <w:shd w:val="clear" w:color="auto" w:fill="FFFFFF"/>
        </w:rPr>
        <w:t>Ten (</w:t>
      </w:r>
      <w:r w:rsidRPr="00C71095">
        <w:rPr>
          <w:rFonts w:ascii="Arial" w:hAnsi="Arial" w:cs="Arial"/>
          <w:sz w:val="24"/>
          <w:szCs w:val="24"/>
          <w:u w:val="single"/>
          <w:bdr w:val="none" w:sz="0" w:space="0" w:color="auto" w:frame="1"/>
        </w:rPr>
        <w:t xml:space="preserve">10) percent of the total number of parking spaces shall be equipped with Level 2 EVSE. </w:t>
      </w:r>
      <w:r w:rsidRPr="00C71095">
        <w:rPr>
          <w:rFonts w:ascii="Arial" w:hAnsi="Arial" w:cs="Arial"/>
          <w:sz w:val="24"/>
          <w:szCs w:val="24"/>
          <w:u w:val="single"/>
        </w:rPr>
        <w:t xml:space="preserve">Where common use parking is provided, at least one EV charger shall </w:t>
      </w:r>
      <w:proofErr w:type="gramStart"/>
      <w:r w:rsidRPr="00C71095">
        <w:rPr>
          <w:rFonts w:ascii="Arial" w:hAnsi="Arial" w:cs="Arial"/>
          <w:sz w:val="24"/>
          <w:szCs w:val="24"/>
          <w:u w:val="single"/>
        </w:rPr>
        <w:t>be located in</w:t>
      </w:r>
      <w:proofErr w:type="gramEnd"/>
      <w:r w:rsidRPr="00C71095">
        <w:rPr>
          <w:rFonts w:ascii="Arial" w:hAnsi="Arial" w:cs="Arial"/>
          <w:sz w:val="24"/>
          <w:szCs w:val="24"/>
          <w:u w:val="single"/>
        </w:rPr>
        <w:t xml:space="preserve"> the common use parking area and shall be available for use by all residents or guests</w:t>
      </w:r>
      <w:r w:rsidRPr="00C71095">
        <w:rPr>
          <w:rFonts w:ascii="Arial" w:hAnsi="Arial" w:cs="Arial"/>
          <w:sz w:val="24"/>
          <w:szCs w:val="24"/>
          <w:u w:val="single"/>
          <w:bdr w:val="none" w:sz="0" w:space="0" w:color="auto" w:frame="1"/>
        </w:rPr>
        <w:t xml:space="preserve">. </w:t>
      </w:r>
      <w:r w:rsidRPr="00C71095">
        <w:rPr>
          <w:rFonts w:ascii="Arial" w:hAnsi="Arial" w:cs="Arial"/>
          <w:dstrike/>
          <w:sz w:val="24"/>
          <w:szCs w:val="24"/>
          <w:u w:val="single"/>
        </w:rPr>
        <w:t>When chargers are installed, spaces shall comply with Sections 4.106.4.2.2.1 and 4.106.4.2.2.2.</w:t>
      </w:r>
    </w:p>
    <w:p w14:paraId="22EE9326" w14:textId="77777777" w:rsidR="00317AE7" w:rsidRPr="00C71095" w:rsidRDefault="00317AE7" w:rsidP="00EF5634">
      <w:pPr>
        <w:spacing w:line="240" w:lineRule="auto"/>
        <w:ind w:left="360"/>
        <w:rPr>
          <w:rFonts w:ascii="Arial" w:hAnsi="Arial" w:cs="Arial"/>
          <w:b/>
          <w:bCs/>
          <w:sz w:val="24"/>
          <w:szCs w:val="24"/>
          <w:u w:val="single"/>
        </w:rPr>
      </w:pPr>
      <w:r w:rsidRPr="00C71095">
        <w:rPr>
          <w:rFonts w:ascii="Arial" w:hAnsi="Arial" w:cs="Arial"/>
          <w:b/>
          <w:bCs/>
          <w:sz w:val="24"/>
          <w:szCs w:val="24"/>
          <w:u w:val="single"/>
        </w:rPr>
        <w:t>Tier 2.</w:t>
      </w:r>
    </w:p>
    <w:p w14:paraId="358FEF7F" w14:textId="77777777" w:rsidR="00317AE7" w:rsidRPr="00C71095" w:rsidRDefault="00317AE7" w:rsidP="00EF5634">
      <w:pPr>
        <w:spacing w:line="240" w:lineRule="auto"/>
        <w:ind w:left="720"/>
        <w:rPr>
          <w:rFonts w:ascii="Arial" w:hAnsi="Arial" w:cs="Arial"/>
          <w:sz w:val="24"/>
          <w:szCs w:val="24"/>
          <w:u w:val="single"/>
          <w:shd w:val="clear" w:color="auto" w:fill="FFFFFF"/>
        </w:rPr>
      </w:pPr>
      <w:r w:rsidRPr="00C71095">
        <w:rPr>
          <w:rFonts w:ascii="Arial" w:hAnsi="Arial" w:cs="Arial"/>
          <w:b/>
          <w:bCs/>
          <w:sz w:val="24"/>
          <w:szCs w:val="24"/>
          <w:u w:val="single"/>
          <w:shd w:val="clear" w:color="auto" w:fill="FFFFFF"/>
        </w:rPr>
        <w:t>EV Ready.</w:t>
      </w:r>
      <w:r w:rsidRPr="00C71095">
        <w:rPr>
          <w:rFonts w:ascii="Arial" w:hAnsi="Arial" w:cs="Arial"/>
          <w:sz w:val="24"/>
          <w:szCs w:val="24"/>
          <w:shd w:val="clear" w:color="auto" w:fill="FFFFFF"/>
        </w:rPr>
        <w:t xml:space="preserve"> </w:t>
      </w:r>
      <w:r w:rsidRPr="00C71095">
        <w:rPr>
          <w:rFonts w:ascii="Arial" w:hAnsi="Arial" w:cs="Arial"/>
          <w:sz w:val="24"/>
          <w:szCs w:val="24"/>
          <w:u w:val="single"/>
          <w:shd w:val="clear" w:color="auto" w:fill="FFFFFF"/>
        </w:rPr>
        <w:t>Forty (40)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6DE3BB0B" w14:textId="77777777" w:rsidR="00317AE7" w:rsidRPr="00C71095" w:rsidRDefault="00317AE7" w:rsidP="00C71095">
      <w:pPr>
        <w:spacing w:line="240" w:lineRule="auto"/>
        <w:ind w:left="1080"/>
        <w:rPr>
          <w:rFonts w:ascii="Arial" w:hAnsi="Arial" w:cs="Arial"/>
          <w:sz w:val="24"/>
          <w:szCs w:val="24"/>
          <w:u w:val="single"/>
          <w:shd w:val="clear" w:color="auto" w:fill="FFFFFF"/>
        </w:rPr>
      </w:pPr>
      <w:r w:rsidRPr="00C71095">
        <w:rPr>
          <w:rFonts w:ascii="Arial" w:eastAsia="Times New Roman" w:hAnsi="Arial" w:cs="Arial"/>
          <w:b/>
          <w:bCs/>
          <w:sz w:val="24"/>
          <w:szCs w:val="24"/>
          <w:u w:val="single"/>
          <w:shd w:val="clear" w:color="auto" w:fill="FFFFFF"/>
        </w:rPr>
        <w:t>Exception:</w:t>
      </w:r>
      <w:r w:rsidRPr="00C71095">
        <w:rPr>
          <w:rFonts w:ascii="Arial" w:eastAsia="Times New Roman" w:hAnsi="Arial" w:cs="Arial"/>
          <w:sz w:val="24"/>
          <w:szCs w:val="24"/>
          <w:u w:val="single"/>
          <w:shd w:val="clear" w:color="auto" w:fill="FFFFFF"/>
        </w:rPr>
        <w:t xml:space="preserve"> Areas of parking facilities served by parking lifts.</w:t>
      </w:r>
    </w:p>
    <w:p w14:paraId="548B8204" w14:textId="77777777" w:rsidR="00317AE7" w:rsidRPr="00EF5634" w:rsidRDefault="00317AE7" w:rsidP="00C71095">
      <w:pPr>
        <w:spacing w:after="240" w:line="240" w:lineRule="auto"/>
        <w:ind w:left="720"/>
        <w:rPr>
          <w:rFonts w:ascii="Arial" w:hAnsi="Arial" w:cs="Arial"/>
          <w:dstrike/>
          <w:sz w:val="24"/>
          <w:szCs w:val="24"/>
        </w:rPr>
      </w:pPr>
      <w:r w:rsidRPr="00C71095">
        <w:rPr>
          <w:rFonts w:ascii="Arial" w:hAnsi="Arial" w:cs="Arial"/>
          <w:b/>
          <w:bCs/>
          <w:sz w:val="24"/>
          <w:szCs w:val="24"/>
          <w:u w:val="single"/>
          <w:shd w:val="clear" w:color="auto" w:fill="FFFFFF"/>
        </w:rPr>
        <w:t>EV Chargers for projects with 20 or more dwelling units, s</w:t>
      </w:r>
      <w:r w:rsidRPr="00C71095">
        <w:rPr>
          <w:rFonts w:ascii="Arial" w:hAnsi="Arial" w:cs="Arial"/>
          <w:b/>
          <w:bCs/>
          <w:sz w:val="24"/>
          <w:szCs w:val="24"/>
          <w:u w:val="single"/>
        </w:rPr>
        <w:t>leeping units or guest rooms</w:t>
      </w:r>
      <w:r w:rsidRPr="00C71095">
        <w:rPr>
          <w:rFonts w:ascii="Arial" w:hAnsi="Arial" w:cs="Arial"/>
          <w:b/>
          <w:bCs/>
          <w:sz w:val="24"/>
          <w:szCs w:val="24"/>
          <w:u w:val="single"/>
          <w:shd w:val="clear" w:color="auto" w:fill="FFFFFF"/>
        </w:rPr>
        <w:t>.</w:t>
      </w:r>
      <w:r w:rsidRPr="00C71095">
        <w:rPr>
          <w:rFonts w:ascii="Arial" w:hAnsi="Arial" w:cs="Arial"/>
          <w:sz w:val="24"/>
          <w:szCs w:val="24"/>
          <w:shd w:val="clear" w:color="auto" w:fill="FFFFFF"/>
        </w:rPr>
        <w:t xml:space="preserve"> </w:t>
      </w:r>
      <w:r w:rsidRPr="00C71095">
        <w:rPr>
          <w:rFonts w:ascii="Arial" w:hAnsi="Arial" w:cs="Arial"/>
          <w:sz w:val="24"/>
          <w:szCs w:val="24"/>
          <w:u w:val="single"/>
          <w:shd w:val="clear" w:color="auto" w:fill="FFFFFF"/>
        </w:rPr>
        <w:t>Fifteen (</w:t>
      </w:r>
      <w:r w:rsidRPr="00C71095">
        <w:rPr>
          <w:rFonts w:ascii="Arial" w:hAnsi="Arial" w:cs="Arial"/>
          <w:sz w:val="24"/>
          <w:szCs w:val="24"/>
          <w:u w:val="single"/>
          <w:bdr w:val="none" w:sz="0" w:space="0" w:color="auto" w:frame="1"/>
        </w:rPr>
        <w:t xml:space="preserve">15) percent of the total number of parking spaces shall be equipped with Level 2 EVSE. </w:t>
      </w:r>
      <w:r w:rsidRPr="00C71095">
        <w:rPr>
          <w:rFonts w:ascii="Arial" w:hAnsi="Arial" w:cs="Arial"/>
          <w:sz w:val="24"/>
          <w:szCs w:val="24"/>
          <w:u w:val="single"/>
        </w:rPr>
        <w:t xml:space="preserve">Where common use parking is provided, at least one EV charger shall </w:t>
      </w:r>
      <w:proofErr w:type="gramStart"/>
      <w:r w:rsidRPr="00C71095">
        <w:rPr>
          <w:rFonts w:ascii="Arial" w:hAnsi="Arial" w:cs="Arial"/>
          <w:sz w:val="24"/>
          <w:szCs w:val="24"/>
          <w:u w:val="single"/>
        </w:rPr>
        <w:t>be located in</w:t>
      </w:r>
      <w:proofErr w:type="gramEnd"/>
      <w:r w:rsidRPr="00C71095">
        <w:rPr>
          <w:rFonts w:ascii="Arial" w:hAnsi="Arial" w:cs="Arial"/>
          <w:sz w:val="24"/>
          <w:szCs w:val="24"/>
          <w:u w:val="single"/>
        </w:rPr>
        <w:t xml:space="preserve"> the common use parking area and shall be available for use by all residents or guests</w:t>
      </w:r>
      <w:r w:rsidRPr="00C71095">
        <w:rPr>
          <w:rFonts w:ascii="Arial" w:hAnsi="Arial" w:cs="Arial"/>
          <w:sz w:val="24"/>
          <w:szCs w:val="24"/>
          <w:u w:val="single"/>
          <w:bdr w:val="none" w:sz="0" w:space="0" w:color="auto" w:frame="1"/>
        </w:rPr>
        <w:t xml:space="preserve">. </w:t>
      </w:r>
      <w:r w:rsidRPr="00C71095">
        <w:rPr>
          <w:rFonts w:ascii="Arial" w:hAnsi="Arial" w:cs="Arial"/>
          <w:dstrike/>
          <w:sz w:val="24"/>
          <w:szCs w:val="24"/>
          <w:u w:val="single"/>
        </w:rPr>
        <w:t>When chargers are installed, spaces shall comply with Sections 4.106.4.2.2.1 and 4.106.4.2.2.2.</w:t>
      </w:r>
    </w:p>
    <w:p w14:paraId="4E3954C7" w14:textId="2886E7A3" w:rsidR="00317AE7" w:rsidRPr="005B5303" w:rsidRDefault="00317AE7" w:rsidP="00C71095">
      <w:pPr>
        <w:spacing w:line="240" w:lineRule="auto"/>
        <w:rPr>
          <w:rFonts w:ascii="Arial" w:hAnsi="Arial" w:cs="Arial"/>
          <w:sz w:val="24"/>
          <w:szCs w:val="24"/>
        </w:rPr>
      </w:pPr>
      <w:r w:rsidRPr="005B5303">
        <w:rPr>
          <w:rFonts w:ascii="Arial" w:hAnsi="Arial" w:cs="Arial"/>
          <w:b/>
          <w:bCs/>
          <w:sz w:val="24"/>
          <w:szCs w:val="24"/>
        </w:rPr>
        <w:t>Rationale for section </w:t>
      </w:r>
      <w:r w:rsidR="00A779DB" w:rsidRPr="005B5303">
        <w:rPr>
          <w:rFonts w:ascii="Arial" w:hAnsi="Arial" w:cs="Arial"/>
          <w:b/>
          <w:bCs/>
          <w:sz w:val="24"/>
          <w:szCs w:val="24"/>
        </w:rPr>
        <w:t xml:space="preserve">A4.106.8.2.1 </w:t>
      </w:r>
      <w:r w:rsidRPr="005B5303">
        <w:rPr>
          <w:rFonts w:ascii="Arial" w:hAnsi="Arial" w:cs="Arial"/>
          <w:b/>
          <w:bCs/>
          <w:sz w:val="24"/>
          <w:szCs w:val="24"/>
        </w:rPr>
        <w:t>Tier 1 and Tier 2:</w:t>
      </w:r>
      <w:r w:rsidRPr="005B5303">
        <w:rPr>
          <w:rFonts w:ascii="Arial" w:hAnsi="Arial" w:cs="Arial"/>
          <w:sz w:val="24"/>
          <w:szCs w:val="24"/>
        </w:rPr>
        <w:t xml:space="preserve"> </w:t>
      </w:r>
      <w:r w:rsidR="00414FD0" w:rsidRPr="005B5303">
        <w:rPr>
          <w:rFonts w:ascii="Arial" w:hAnsi="Arial" w:cs="Arial"/>
          <w:sz w:val="24"/>
          <w:szCs w:val="24"/>
        </w:rPr>
        <w:t>The</w:t>
      </w:r>
      <w:r w:rsidRPr="005B5303">
        <w:rPr>
          <w:rFonts w:ascii="Arial" w:hAnsi="Arial" w:cs="Arial"/>
          <w:sz w:val="24"/>
          <w:szCs w:val="24"/>
        </w:rPr>
        <w:t xml:space="preserve"> last sentence in the Tier 1 and Tier 2 requirements for EV chargers for projects with 20 or more dwelling units, sleeping units or guest rooms</w:t>
      </w:r>
      <w:r w:rsidR="00414FD0" w:rsidRPr="005B5303">
        <w:rPr>
          <w:rFonts w:ascii="Arial" w:hAnsi="Arial" w:cs="Arial"/>
          <w:sz w:val="24"/>
          <w:szCs w:val="24"/>
        </w:rPr>
        <w:t xml:space="preserve"> should be removed.</w:t>
      </w:r>
      <w:r w:rsidRPr="005B5303">
        <w:rPr>
          <w:rFonts w:ascii="Arial" w:hAnsi="Arial" w:cs="Arial"/>
          <w:sz w:val="24"/>
          <w:szCs w:val="24"/>
        </w:rPr>
        <w:t xml:space="preserve"> The reference to the code sections in these sentences are not applicable to the CBC Chapter 11B regulated facilities of public housing, hotels, and motels, and do not reference the exception of these requirements for these facilities already in regulation.</w:t>
      </w:r>
    </w:p>
    <w:sectPr w:rsidR="00317AE7" w:rsidRPr="005B53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7466" w14:textId="77777777" w:rsidR="004E202D" w:rsidRDefault="004E202D" w:rsidP="006B40DC">
      <w:pPr>
        <w:spacing w:after="0" w:line="240" w:lineRule="auto"/>
      </w:pPr>
      <w:r>
        <w:separator/>
      </w:r>
    </w:p>
  </w:endnote>
  <w:endnote w:type="continuationSeparator" w:id="0">
    <w:p w14:paraId="67236134" w14:textId="77777777" w:rsidR="004E202D" w:rsidRDefault="004E202D" w:rsidP="006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629F" w14:textId="77777777" w:rsidR="004E202D" w:rsidRDefault="004E202D" w:rsidP="006B40DC">
      <w:pPr>
        <w:spacing w:after="0" w:line="240" w:lineRule="auto"/>
      </w:pPr>
      <w:r>
        <w:separator/>
      </w:r>
    </w:p>
  </w:footnote>
  <w:footnote w:type="continuationSeparator" w:id="0">
    <w:p w14:paraId="0579385A" w14:textId="77777777" w:rsidR="004E202D" w:rsidRDefault="004E202D" w:rsidP="006B4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351C"/>
    <w:multiLevelType w:val="hybridMultilevel"/>
    <w:tmpl w:val="04744316"/>
    <w:lvl w:ilvl="0" w:tplc="3DD0E662">
      <w:start w:val="3"/>
      <w:numFmt w:val="decimal"/>
      <w:lvlText w:val="%1."/>
      <w:lvlJc w:val="left"/>
      <w:pPr>
        <w:ind w:left="1800" w:hanging="360"/>
      </w:pPr>
      <w:rPr>
        <w:rFonts w:hint="default"/>
        <w:b/>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D63B05"/>
    <w:multiLevelType w:val="hybridMultilevel"/>
    <w:tmpl w:val="6E985E64"/>
    <w:lvl w:ilvl="0" w:tplc="C3DA0D7E">
      <w:start w:val="1"/>
      <w:numFmt w:val="decimal"/>
      <w:lvlText w:val="%1."/>
      <w:lvlJc w:val="left"/>
      <w:pPr>
        <w:ind w:left="1080" w:hanging="360"/>
      </w:pPr>
      <w:rPr>
        <w:strike w:val="0"/>
        <w:color w:val="auto"/>
        <w:u w:val="single"/>
      </w:rPr>
    </w:lvl>
    <w:lvl w:ilvl="1" w:tplc="82C08DB0">
      <w:start w:val="1"/>
      <w:numFmt w:val="lowerLetter"/>
      <w:lvlText w:val="%2."/>
      <w:lvlJc w:val="left"/>
      <w:pPr>
        <w:ind w:left="1890" w:hanging="360"/>
      </w:pPr>
      <w:rPr>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932DA"/>
    <w:multiLevelType w:val="hybridMultilevel"/>
    <w:tmpl w:val="7B7241E4"/>
    <w:lvl w:ilvl="0" w:tplc="4FBEB0DC">
      <w:start w:val="1"/>
      <w:numFmt w:val="decimal"/>
      <w:lvlText w:val="%1."/>
      <w:lvlJc w:val="left"/>
      <w:pPr>
        <w:ind w:left="1080" w:hanging="360"/>
      </w:pPr>
      <w:rPr>
        <w:rFonts w:hint="default"/>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61230"/>
    <w:multiLevelType w:val="hybridMultilevel"/>
    <w:tmpl w:val="EC96FA1A"/>
    <w:lvl w:ilvl="0" w:tplc="6652E3FE">
      <w:start w:val="1"/>
      <w:numFmt w:val="decimal"/>
      <w:lvlText w:val="%1."/>
      <w:lvlJc w:val="left"/>
      <w:pPr>
        <w:ind w:left="180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0712E"/>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7D2D53"/>
    <w:multiLevelType w:val="hybridMultilevel"/>
    <w:tmpl w:val="6622A7C8"/>
    <w:lvl w:ilvl="0" w:tplc="0409000F">
      <w:start w:val="1"/>
      <w:numFmt w:val="decimal"/>
      <w:lvlText w:val="%1."/>
      <w:lvlJc w:val="left"/>
      <w:pPr>
        <w:ind w:left="1080" w:hanging="360"/>
      </w:pPr>
    </w:lvl>
    <w:lvl w:ilvl="1" w:tplc="2C60C1A8">
      <w:start w:val="1"/>
      <w:numFmt w:val="lowerLetter"/>
      <w:lvlText w:val="%2."/>
      <w:lvlJc w:val="left"/>
      <w:pPr>
        <w:ind w:left="1800" w:hanging="360"/>
      </w:pPr>
      <w:rPr>
        <w:u w:val="single"/>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125D72"/>
    <w:multiLevelType w:val="hybridMultilevel"/>
    <w:tmpl w:val="2564DEC4"/>
    <w:lvl w:ilvl="0" w:tplc="8F9A82A2">
      <w:start w:val="1"/>
      <w:numFmt w:val="decimal"/>
      <w:lvlText w:val="%1."/>
      <w:lvlJc w:val="left"/>
      <w:pPr>
        <w:ind w:left="1080" w:hanging="360"/>
      </w:pPr>
      <w:rPr>
        <w:b w:val="0"/>
        <w:bCs w:val="0"/>
        <w:u w:val="single"/>
      </w:rPr>
    </w:lvl>
    <w:lvl w:ilvl="1" w:tplc="A954A21A">
      <w:start w:val="1"/>
      <w:numFmt w:val="lowerRoman"/>
      <w:lvlText w:val="%2."/>
      <w:lvlJc w:val="right"/>
      <w:pPr>
        <w:ind w:left="1800" w:hanging="360"/>
      </w:pPr>
      <w:rPr>
        <w:b w:val="0"/>
        <w:bCs w:val="0"/>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ED1B2D"/>
    <w:multiLevelType w:val="hybridMultilevel"/>
    <w:tmpl w:val="A2CA9702"/>
    <w:lvl w:ilvl="0" w:tplc="6652E3FE">
      <w:start w:val="1"/>
      <w:numFmt w:val="decimal"/>
      <w:lvlText w:val="%1."/>
      <w:lvlJc w:val="left"/>
      <w:pPr>
        <w:ind w:left="1800" w:hanging="360"/>
      </w:pPr>
      <w:rPr>
        <w:rFonts w:hint="default"/>
        <w:b/>
        <w:bCs/>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B6916"/>
    <w:multiLevelType w:val="hybridMultilevel"/>
    <w:tmpl w:val="04744316"/>
    <w:lvl w:ilvl="0" w:tplc="3DD0E662">
      <w:start w:val="3"/>
      <w:numFmt w:val="decimal"/>
      <w:lvlText w:val="%1."/>
      <w:lvlJc w:val="left"/>
      <w:pPr>
        <w:ind w:left="1800" w:hanging="360"/>
      </w:pPr>
      <w:rPr>
        <w:rFonts w:hint="default"/>
        <w:b/>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
  </w:num>
  <w:num w:numId="5">
    <w:abstractNumId w:val="6"/>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C9"/>
    <w:rsid w:val="000627D8"/>
    <w:rsid w:val="00065062"/>
    <w:rsid w:val="00077CCF"/>
    <w:rsid w:val="0009462B"/>
    <w:rsid w:val="000D5E62"/>
    <w:rsid w:val="0010110A"/>
    <w:rsid w:val="0017631A"/>
    <w:rsid w:val="00197474"/>
    <w:rsid w:val="001A6A89"/>
    <w:rsid w:val="001E58B0"/>
    <w:rsid w:val="00262751"/>
    <w:rsid w:val="00273E12"/>
    <w:rsid w:val="002B5406"/>
    <w:rsid w:val="002B6A24"/>
    <w:rsid w:val="002E25B5"/>
    <w:rsid w:val="0030593E"/>
    <w:rsid w:val="00317AE7"/>
    <w:rsid w:val="00373E6E"/>
    <w:rsid w:val="00381D8D"/>
    <w:rsid w:val="003C24A3"/>
    <w:rsid w:val="00414FD0"/>
    <w:rsid w:val="00423107"/>
    <w:rsid w:val="0044054B"/>
    <w:rsid w:val="0045044F"/>
    <w:rsid w:val="00452337"/>
    <w:rsid w:val="00483218"/>
    <w:rsid w:val="0049510E"/>
    <w:rsid w:val="004A4106"/>
    <w:rsid w:val="004D5B4E"/>
    <w:rsid w:val="004E202D"/>
    <w:rsid w:val="004E75F3"/>
    <w:rsid w:val="0052655A"/>
    <w:rsid w:val="005271FF"/>
    <w:rsid w:val="005B5303"/>
    <w:rsid w:val="005C27C7"/>
    <w:rsid w:val="005E3578"/>
    <w:rsid w:val="006023F8"/>
    <w:rsid w:val="00603C88"/>
    <w:rsid w:val="00636D31"/>
    <w:rsid w:val="00647979"/>
    <w:rsid w:val="006775CF"/>
    <w:rsid w:val="006A1727"/>
    <w:rsid w:val="006B40DC"/>
    <w:rsid w:val="00710D61"/>
    <w:rsid w:val="007164B1"/>
    <w:rsid w:val="007C1359"/>
    <w:rsid w:val="00806634"/>
    <w:rsid w:val="00834B02"/>
    <w:rsid w:val="00851552"/>
    <w:rsid w:val="0088284B"/>
    <w:rsid w:val="00905A77"/>
    <w:rsid w:val="009414D5"/>
    <w:rsid w:val="0094698E"/>
    <w:rsid w:val="0095397B"/>
    <w:rsid w:val="00975F05"/>
    <w:rsid w:val="00A779DB"/>
    <w:rsid w:val="00B02AF1"/>
    <w:rsid w:val="00B3292E"/>
    <w:rsid w:val="00B53033"/>
    <w:rsid w:val="00B87211"/>
    <w:rsid w:val="00B931CC"/>
    <w:rsid w:val="00B945C9"/>
    <w:rsid w:val="00BC05EB"/>
    <w:rsid w:val="00BE1454"/>
    <w:rsid w:val="00BE1B4C"/>
    <w:rsid w:val="00C65381"/>
    <w:rsid w:val="00C71095"/>
    <w:rsid w:val="00C8061D"/>
    <w:rsid w:val="00C81E9E"/>
    <w:rsid w:val="00CA0EC0"/>
    <w:rsid w:val="00CD2073"/>
    <w:rsid w:val="00CE6F51"/>
    <w:rsid w:val="00CF4E72"/>
    <w:rsid w:val="00D309A8"/>
    <w:rsid w:val="00DA1B8F"/>
    <w:rsid w:val="00E71F59"/>
    <w:rsid w:val="00EA31C2"/>
    <w:rsid w:val="00EB79C8"/>
    <w:rsid w:val="00EC679E"/>
    <w:rsid w:val="00EF5634"/>
    <w:rsid w:val="00F00948"/>
    <w:rsid w:val="00F01B4F"/>
    <w:rsid w:val="00F1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38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34"/>
  </w:style>
  <w:style w:type="paragraph" w:styleId="Heading1">
    <w:name w:val="heading 1"/>
    <w:basedOn w:val="Normal"/>
    <w:next w:val="Normal"/>
    <w:link w:val="Heading1Char"/>
    <w:uiPriority w:val="9"/>
    <w:qFormat/>
    <w:rsid w:val="00975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1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5C9"/>
    <w:rPr>
      <w:color w:val="0563C1" w:themeColor="hyperlink"/>
      <w:u w:val="single"/>
    </w:rPr>
  </w:style>
  <w:style w:type="character" w:styleId="UnresolvedMention">
    <w:name w:val="Unresolved Mention"/>
    <w:basedOn w:val="DefaultParagraphFont"/>
    <w:uiPriority w:val="99"/>
    <w:semiHidden/>
    <w:unhideWhenUsed/>
    <w:rsid w:val="00B945C9"/>
    <w:rPr>
      <w:color w:val="605E5C"/>
      <w:shd w:val="clear" w:color="auto" w:fill="E1DFDD"/>
    </w:rPr>
  </w:style>
  <w:style w:type="character" w:styleId="CommentReference">
    <w:name w:val="annotation reference"/>
    <w:basedOn w:val="DefaultParagraphFont"/>
    <w:uiPriority w:val="99"/>
    <w:rsid w:val="006A1727"/>
    <w:rPr>
      <w:sz w:val="16"/>
      <w:szCs w:val="16"/>
    </w:rPr>
  </w:style>
  <w:style w:type="paragraph" w:styleId="CommentText">
    <w:name w:val="annotation text"/>
    <w:basedOn w:val="Normal"/>
    <w:link w:val="CommentTextChar"/>
    <w:uiPriority w:val="99"/>
    <w:rsid w:val="006A1727"/>
    <w:pPr>
      <w:widowControl w:val="0"/>
      <w:spacing w:after="0" w:line="240" w:lineRule="auto"/>
    </w:pPr>
    <w:rPr>
      <w:rFonts w:ascii="Helvetica" w:eastAsia="Times New Roman" w:hAnsi="Helvetica" w:cs="Times New Roman"/>
      <w:snapToGrid w:val="0"/>
      <w:sz w:val="20"/>
      <w:szCs w:val="20"/>
    </w:rPr>
  </w:style>
  <w:style w:type="character" w:customStyle="1" w:styleId="CommentTextChar">
    <w:name w:val="Comment Text Char"/>
    <w:basedOn w:val="DefaultParagraphFont"/>
    <w:link w:val="CommentText"/>
    <w:uiPriority w:val="99"/>
    <w:rsid w:val="006A1727"/>
    <w:rPr>
      <w:rFonts w:ascii="Helvetica" w:eastAsia="Times New Roman" w:hAnsi="Helvetica" w:cs="Times New Roman"/>
      <w:snapToGrid w:val="0"/>
      <w:sz w:val="20"/>
      <w:szCs w:val="20"/>
    </w:rPr>
  </w:style>
  <w:style w:type="paragraph" w:styleId="ListParagraph">
    <w:name w:val="List Paragraph"/>
    <w:basedOn w:val="Normal"/>
    <w:uiPriority w:val="34"/>
    <w:qFormat/>
    <w:rsid w:val="006A1727"/>
    <w:pPr>
      <w:widowControl w:val="0"/>
      <w:spacing w:after="0" w:line="240" w:lineRule="auto"/>
      <w:ind w:left="720"/>
      <w:contextualSpacing/>
    </w:pPr>
    <w:rPr>
      <w:rFonts w:ascii="Helvetica" w:eastAsia="Batang" w:hAnsi="Helvetica" w:cs="Times New Roman"/>
      <w:snapToGrid w:val="0"/>
      <w:sz w:val="24"/>
      <w:szCs w:val="20"/>
    </w:rPr>
  </w:style>
  <w:style w:type="paragraph" w:styleId="Title">
    <w:name w:val="Title"/>
    <w:basedOn w:val="Normal"/>
    <w:next w:val="Normal"/>
    <w:link w:val="TitleChar"/>
    <w:uiPriority w:val="10"/>
    <w:qFormat/>
    <w:rsid w:val="00975F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F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5F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1B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B4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DC"/>
  </w:style>
  <w:style w:type="paragraph" w:styleId="Footer">
    <w:name w:val="footer"/>
    <w:basedOn w:val="Normal"/>
    <w:link w:val="FooterChar"/>
    <w:uiPriority w:val="99"/>
    <w:unhideWhenUsed/>
    <w:rsid w:val="006B4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clair@dgs.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635A-7FA1-404F-B2BD-A392A882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DSA Public Comments on Proposed Building Standards - 1</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Public Comments on Proposed Building Standards - 2</dc:title>
  <dc:subject/>
  <dc:creator/>
  <cp:keywords/>
  <dc:description/>
  <cp:lastModifiedBy/>
  <cp:revision>1</cp:revision>
  <dcterms:created xsi:type="dcterms:W3CDTF">2021-09-24T21:48:00Z</dcterms:created>
  <dcterms:modified xsi:type="dcterms:W3CDTF">2021-09-24T21:48:00Z</dcterms:modified>
</cp:coreProperties>
</file>