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DD25" w14:textId="77777777" w:rsidR="00504E1B" w:rsidRPr="00C241EC" w:rsidRDefault="00504E1B" w:rsidP="00504E1B">
      <w:pPr>
        <w:pStyle w:val="Heading1"/>
        <w:spacing w:before="0" w:after="0"/>
        <w:jc w:val="center"/>
        <w:rPr>
          <w:rFonts w:cs="Arial"/>
        </w:rPr>
      </w:pPr>
      <w:r w:rsidRPr="00C241EC">
        <w:rPr>
          <w:rFonts w:cs="Arial"/>
        </w:rPr>
        <w:t xml:space="preserve">ADDITIONAL </w:t>
      </w:r>
      <w:r w:rsidRPr="00C241EC">
        <w:rPr>
          <w:rFonts w:cs="Arial"/>
        </w:rPr>
        <w:fldChar w:fldCharType="begin">
          <w:ffData>
            <w:name w:val="Text33"/>
            <w:enabled/>
            <w:calcOnExit w:val="0"/>
            <w:textInput/>
          </w:ffData>
        </w:fldChar>
      </w:r>
      <w:bookmarkStart w:id="0" w:name="Text33"/>
      <w:r w:rsidRPr="00C241EC">
        <w:rPr>
          <w:rFonts w:cs="Arial"/>
        </w:rPr>
        <w:instrText xml:space="preserve"> FORMTEXT </w:instrText>
      </w:r>
      <w:r w:rsidRPr="00C241EC">
        <w:rPr>
          <w:rFonts w:cs="Arial"/>
        </w:rPr>
      </w:r>
      <w:r w:rsidRPr="00C241EC">
        <w:rPr>
          <w:rFonts w:cs="Arial"/>
        </w:rPr>
        <w:fldChar w:fldCharType="separate"/>
      </w:r>
      <w:r w:rsidRPr="00C241EC">
        <w:rPr>
          <w:rFonts w:cs="Arial"/>
          <w:noProof/>
        </w:rPr>
        <w:t>15</w:t>
      </w:r>
      <w:r w:rsidRPr="00C241EC">
        <w:rPr>
          <w:rFonts w:cs="Arial"/>
        </w:rPr>
        <w:fldChar w:fldCharType="end"/>
      </w:r>
      <w:bookmarkEnd w:id="0"/>
      <w:r w:rsidRPr="00C241EC">
        <w:rPr>
          <w:rFonts w:cs="Arial"/>
        </w:rPr>
        <w:t>-DAY EXPRESS TERMS AND RATIONALE</w:t>
      </w:r>
      <w:r w:rsidRPr="00C241EC">
        <w:rPr>
          <w:rFonts w:cs="Arial"/>
        </w:rPr>
        <w:br/>
        <w:t>FOR PROPOSED BUILDING STANDARDS</w:t>
      </w:r>
      <w:r w:rsidRPr="00C241EC">
        <w:rPr>
          <w:rFonts w:cs="Arial"/>
        </w:rPr>
        <w:br/>
        <w:t>OF THE DEPARTMENT OF HOUSING AND COMMUNITY DEVELOPMENT</w:t>
      </w:r>
      <w:r w:rsidRPr="00C241EC">
        <w:rPr>
          <w:rFonts w:cs="Arial"/>
        </w:rPr>
        <w:br/>
        <w:t>REGARDING THE 2022 CALIFORNIA GREEN BUILDING STANDARDS CODE,</w:t>
      </w:r>
    </w:p>
    <w:p w14:paraId="4249B626" w14:textId="77777777" w:rsidR="00504E1B" w:rsidRPr="00C241EC" w:rsidRDefault="00504E1B" w:rsidP="00504E1B">
      <w:pPr>
        <w:pStyle w:val="Heading1"/>
        <w:spacing w:before="0"/>
        <w:jc w:val="center"/>
        <w:rPr>
          <w:rFonts w:cs="Arial"/>
        </w:rPr>
      </w:pPr>
      <w:r w:rsidRPr="00C241EC">
        <w:rPr>
          <w:rFonts w:cs="Arial"/>
        </w:rPr>
        <w:t>CALIFORNIA CODE OF REGULATIONS, TITLE 24, PART  11</w:t>
      </w:r>
    </w:p>
    <w:p w14:paraId="20DDA440" w14:textId="77777777" w:rsidR="00504E1B" w:rsidRPr="00C241EC" w:rsidRDefault="00504E1B" w:rsidP="00504E1B">
      <w:pPr>
        <w:pStyle w:val="Heading1"/>
        <w:spacing w:after="120"/>
        <w:jc w:val="center"/>
        <w:rPr>
          <w:rFonts w:cs="Arial"/>
          <w:szCs w:val="24"/>
        </w:rPr>
      </w:pPr>
      <w:r w:rsidRPr="00C241EC">
        <w:rPr>
          <w:rFonts w:cs="Arial"/>
          <w:szCs w:val="24"/>
        </w:rPr>
        <w:t>(HCD 03/21)</w:t>
      </w:r>
    </w:p>
    <w:p w14:paraId="71F2F9EC" w14:textId="77777777" w:rsidR="00504E1B" w:rsidRPr="00C241EC" w:rsidRDefault="00504E1B" w:rsidP="00504E1B">
      <w:pPr>
        <w:spacing w:after="120"/>
        <w:rPr>
          <w:rFonts w:ascii="Arial" w:hAnsi="Arial" w:cs="Arial"/>
          <w:szCs w:val="24"/>
        </w:rPr>
      </w:pPr>
      <w:r w:rsidRPr="00C241EC">
        <w:rPr>
          <w:rFonts w:ascii="Arial" w:hAnsi="Arial" w:cs="Arial"/>
          <w:szCs w:val="24"/>
        </w:rPr>
        <w:t xml:space="preserve">No state agency may adopt, amend, or repeal a regulation which has been changed from that which was originally made available to the public pursuant to Section 11346.5, unless the change is (1) </w:t>
      </w:r>
      <w:proofErr w:type="spellStart"/>
      <w:r w:rsidRPr="00C241EC">
        <w:rPr>
          <w:rFonts w:ascii="Arial" w:hAnsi="Arial" w:cs="Arial"/>
          <w:szCs w:val="24"/>
        </w:rPr>
        <w:t>nonsubstantial</w:t>
      </w:r>
      <w:proofErr w:type="spellEnd"/>
      <w:r w:rsidRPr="00C241EC">
        <w:rPr>
          <w:rFonts w:ascii="Arial" w:hAnsi="Arial" w:cs="Arial"/>
          <w:szCs w:val="24"/>
        </w:rPr>
        <w:t xml:space="preserve">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 or 45 days before the agency adopts, amends, or repeals the resulting regulation.</w:t>
      </w:r>
    </w:p>
    <w:p w14:paraId="116AC84D" w14:textId="77777777" w:rsidR="00504E1B" w:rsidRPr="00C241EC" w:rsidRDefault="00504E1B" w:rsidP="00504E1B">
      <w:pPr>
        <w:spacing w:after="120"/>
        <w:rPr>
          <w:rFonts w:ascii="Arial" w:hAnsi="Arial" w:cs="Arial"/>
          <w:szCs w:val="24"/>
        </w:rPr>
      </w:pPr>
      <w:r w:rsidRPr="00C241EC">
        <w:rPr>
          <w:rFonts w:ascii="Arial" w:hAnsi="Arial" w:cs="Arial"/>
          <w:szCs w:val="24"/>
        </w:rPr>
        <w:t xml:space="preserve">Any written comments received regarding the change must be responded to in the final statement of reasons required by Section 11346.9 (Government Code Section 11346.8(c)). </w:t>
      </w:r>
    </w:p>
    <w:p w14:paraId="4892E54C" w14:textId="77777777" w:rsidR="00504E1B" w:rsidRPr="00C241EC" w:rsidRDefault="00504E1B" w:rsidP="00504E1B">
      <w:pPr>
        <w:pStyle w:val="BodyText3"/>
        <w:pBdr>
          <w:bottom w:val="single" w:sz="4" w:space="1" w:color="auto"/>
        </w:pBdr>
        <w:jc w:val="left"/>
        <w:rPr>
          <w:rFonts w:ascii="Arial" w:hAnsi="Arial" w:cs="Arial"/>
          <w:szCs w:val="24"/>
        </w:rPr>
      </w:pPr>
    </w:p>
    <w:p w14:paraId="46737EB5" w14:textId="77777777" w:rsidR="00504E1B" w:rsidRPr="00C241EC" w:rsidRDefault="00504E1B" w:rsidP="00343702">
      <w:r w:rsidRPr="00C241EC">
        <w:t xml:space="preserve">If using assistive technology, please adjust your settings to recognize underline, strikeout, double </w:t>
      </w:r>
      <w:proofErr w:type="gramStart"/>
      <w:r w:rsidRPr="00C241EC">
        <w:t>strikeout</w:t>
      </w:r>
      <w:proofErr w:type="gramEnd"/>
      <w:r w:rsidRPr="00C241EC">
        <w:t xml:space="preserve"> and ellipsis. Double underline will be indicated by parenthetical notes within the text. The notes will not be codified or published in the code.</w:t>
      </w:r>
    </w:p>
    <w:p w14:paraId="57D0C762" w14:textId="557F9E89" w:rsidR="00504E1B" w:rsidRPr="00C241EC" w:rsidRDefault="00504E1B" w:rsidP="00504E1B">
      <w:pPr>
        <w:pStyle w:val="Heading2"/>
        <w:rPr>
          <w:rFonts w:cs="Arial"/>
          <w:szCs w:val="24"/>
        </w:rPr>
      </w:pPr>
      <w:r w:rsidRPr="00C241EC">
        <w:rPr>
          <w:rFonts w:cs="Arial"/>
          <w:szCs w:val="24"/>
        </w:rPr>
        <w:t xml:space="preserve">LEGEND for EXPRESS TERMS </w:t>
      </w:r>
    </w:p>
    <w:p w14:paraId="7F7DEE70" w14:textId="77777777" w:rsidR="00504E1B" w:rsidRPr="00C241EC" w:rsidRDefault="00504E1B" w:rsidP="00504E1B">
      <w:pPr>
        <w:pStyle w:val="ListParagraph"/>
        <w:numPr>
          <w:ilvl w:val="0"/>
          <w:numId w:val="5"/>
        </w:numPr>
        <w:rPr>
          <w:rFonts w:ascii="Arial" w:hAnsi="Arial" w:cs="Arial"/>
          <w:szCs w:val="24"/>
        </w:rPr>
      </w:pPr>
      <w:r w:rsidRPr="00C241EC">
        <w:rPr>
          <w:rFonts w:ascii="Arial" w:hAnsi="Arial" w:cs="Arial"/>
          <w:szCs w:val="24"/>
        </w:rPr>
        <w:t>Existing California amendments appear upright.</w:t>
      </w:r>
    </w:p>
    <w:p w14:paraId="1D3137D9" w14:textId="77777777" w:rsidR="00504E1B" w:rsidRPr="00C241EC" w:rsidRDefault="00504E1B" w:rsidP="00504E1B">
      <w:pPr>
        <w:pStyle w:val="ListParagraph"/>
        <w:numPr>
          <w:ilvl w:val="0"/>
          <w:numId w:val="5"/>
        </w:numPr>
        <w:rPr>
          <w:rFonts w:ascii="Arial" w:hAnsi="Arial" w:cs="Arial"/>
          <w:iCs/>
          <w:szCs w:val="24"/>
        </w:rPr>
      </w:pPr>
      <w:r w:rsidRPr="00C241EC">
        <w:rPr>
          <w:rFonts w:ascii="Arial" w:hAnsi="Arial" w:cs="Arial"/>
          <w:szCs w:val="24"/>
        </w:rPr>
        <w:t xml:space="preserve">Unmodified California 45-day amendments appear in </w:t>
      </w:r>
      <w:r w:rsidRPr="00C241EC">
        <w:rPr>
          <w:rFonts w:ascii="Arial" w:hAnsi="Arial" w:cs="Arial"/>
          <w:iCs/>
          <w:szCs w:val="24"/>
          <w:u w:val="single"/>
        </w:rPr>
        <w:t>underline</w:t>
      </w:r>
      <w:r w:rsidRPr="00C241EC">
        <w:rPr>
          <w:rFonts w:ascii="Arial" w:hAnsi="Arial" w:cs="Arial"/>
          <w:iCs/>
          <w:szCs w:val="24"/>
        </w:rPr>
        <w:t xml:space="preserve"> and </w:t>
      </w:r>
      <w:r w:rsidRPr="00C241EC">
        <w:rPr>
          <w:rFonts w:ascii="Arial" w:hAnsi="Arial" w:cs="Arial"/>
          <w:iCs/>
          <w:strike/>
          <w:szCs w:val="24"/>
        </w:rPr>
        <w:t>strikeout</w:t>
      </w:r>
      <w:r w:rsidRPr="00C241EC">
        <w:rPr>
          <w:rFonts w:ascii="Arial" w:hAnsi="Arial" w:cs="Arial"/>
          <w:iCs/>
          <w:szCs w:val="24"/>
        </w:rPr>
        <w:t>.</w:t>
      </w:r>
    </w:p>
    <w:p w14:paraId="04384EBC" w14:textId="77777777" w:rsidR="00504E1B" w:rsidRPr="00C241EC" w:rsidRDefault="00504E1B" w:rsidP="00504E1B">
      <w:pPr>
        <w:pStyle w:val="ListParagraph"/>
        <w:numPr>
          <w:ilvl w:val="0"/>
          <w:numId w:val="5"/>
        </w:numPr>
        <w:rPr>
          <w:rFonts w:ascii="Arial" w:hAnsi="Arial" w:cs="Arial"/>
          <w:i/>
          <w:szCs w:val="24"/>
          <w:u w:val="single"/>
        </w:rPr>
      </w:pPr>
      <w:r w:rsidRPr="00C241EC">
        <w:rPr>
          <w:rFonts w:ascii="Arial" w:hAnsi="Arial" w:cs="Arial"/>
          <w:szCs w:val="24"/>
        </w:rPr>
        <w:t xml:space="preserve">California additional 15-day amendments appear in </w:t>
      </w:r>
      <w:r w:rsidRPr="00C241EC">
        <w:rPr>
          <w:rFonts w:ascii="Arial" w:hAnsi="Arial" w:cs="Arial"/>
          <w:szCs w:val="24"/>
          <w:u w:val="double"/>
        </w:rPr>
        <w:t>double underline</w:t>
      </w:r>
      <w:r w:rsidRPr="00C241EC">
        <w:rPr>
          <w:rFonts w:ascii="Arial" w:hAnsi="Arial" w:cs="Arial"/>
          <w:szCs w:val="24"/>
        </w:rPr>
        <w:t xml:space="preserve"> and </w:t>
      </w:r>
      <w:r w:rsidRPr="00C241EC">
        <w:rPr>
          <w:rFonts w:ascii="Arial" w:hAnsi="Arial" w:cs="Arial"/>
          <w:dstrike/>
          <w:szCs w:val="24"/>
        </w:rPr>
        <w:t>double strikeout</w:t>
      </w:r>
      <w:r w:rsidRPr="00C241EC">
        <w:rPr>
          <w:rFonts w:ascii="Arial" w:hAnsi="Arial" w:cs="Arial"/>
          <w:szCs w:val="24"/>
        </w:rPr>
        <w:t>.</w:t>
      </w:r>
    </w:p>
    <w:p w14:paraId="7F314009" w14:textId="77777777" w:rsidR="00504E1B" w:rsidRPr="00C241EC" w:rsidRDefault="00504E1B" w:rsidP="00504E1B">
      <w:pPr>
        <w:pStyle w:val="ListParagraph"/>
        <w:numPr>
          <w:ilvl w:val="0"/>
          <w:numId w:val="5"/>
        </w:numPr>
        <w:rPr>
          <w:rFonts w:ascii="Arial" w:hAnsi="Arial" w:cs="Arial"/>
          <w:szCs w:val="24"/>
        </w:rPr>
      </w:pPr>
      <w:r w:rsidRPr="00C241EC">
        <w:rPr>
          <w:rFonts w:ascii="Arial" w:hAnsi="Arial" w:cs="Arial"/>
          <w:szCs w:val="24"/>
        </w:rPr>
        <w:t xml:space="preserve">Ellipsis ( </w:t>
      </w:r>
      <w:r w:rsidRPr="00C241EC">
        <w:rPr>
          <w:rFonts w:ascii="Arial" w:eastAsia="Times New Roman" w:hAnsi="Arial" w:cs="Arial"/>
          <w:szCs w:val="24"/>
          <w:lang w:eastAsia="ko-KR"/>
        </w:rPr>
        <w:t>...) indicate existing text remains unchanged.</w:t>
      </w:r>
    </w:p>
    <w:p w14:paraId="1F728CE3" w14:textId="77777777" w:rsidR="00504E1B" w:rsidRPr="00C241EC" w:rsidRDefault="00504E1B" w:rsidP="00504E1B">
      <w:pPr>
        <w:pStyle w:val="ListParagraph"/>
        <w:numPr>
          <w:ilvl w:val="0"/>
          <w:numId w:val="5"/>
        </w:numPr>
        <w:rPr>
          <w:rFonts w:ascii="Arial" w:hAnsi="Arial" w:cs="Arial"/>
          <w:szCs w:val="24"/>
        </w:rPr>
      </w:pPr>
      <w:r w:rsidRPr="00C241EC">
        <w:rPr>
          <w:rFonts w:ascii="Arial" w:hAnsi="Arial" w:cs="Arial"/>
          <w:b/>
          <w:bCs/>
          <w:szCs w:val="24"/>
        </w:rPr>
        <w:t>Rationale</w:t>
      </w:r>
      <w:r w:rsidRPr="00C241EC">
        <w:rPr>
          <w:rFonts w:ascii="Arial" w:hAnsi="Arial" w:cs="Arial"/>
          <w:szCs w:val="24"/>
        </w:rPr>
        <w:t>: The justification for the change is shown after each section or series of related changes.</w:t>
      </w:r>
    </w:p>
    <w:p w14:paraId="08939E6F" w14:textId="77777777" w:rsidR="00504E1B" w:rsidRPr="00C241EC" w:rsidRDefault="00504E1B" w:rsidP="00504E1B">
      <w:pPr>
        <w:pBdr>
          <w:top w:val="single" w:sz="4" w:space="1" w:color="auto"/>
        </w:pBdr>
        <w:rPr>
          <w:rFonts w:ascii="Arial" w:hAnsi="Arial" w:cs="Arial"/>
          <w:szCs w:val="24"/>
        </w:rPr>
      </w:pPr>
    </w:p>
    <w:p w14:paraId="2231C41F" w14:textId="77777777" w:rsidR="00504E1B" w:rsidRPr="00C241EC" w:rsidRDefault="00504E1B" w:rsidP="00504E1B">
      <w:pPr>
        <w:pStyle w:val="Heading1"/>
        <w:spacing w:before="240" w:after="120"/>
        <w:rPr>
          <w:rFonts w:cs="Arial"/>
          <w:bCs/>
          <w:szCs w:val="24"/>
        </w:rPr>
      </w:pPr>
      <w:r w:rsidRPr="00C241EC">
        <w:rPr>
          <w:rFonts w:cs="Arial"/>
          <w:szCs w:val="24"/>
        </w:rPr>
        <w:t>ADDITIONAL 15-DAY EXPRESS TERMS</w:t>
      </w:r>
    </w:p>
    <w:p w14:paraId="560243B2" w14:textId="77777777" w:rsidR="00504E1B" w:rsidRPr="00C241EC" w:rsidRDefault="00504E1B" w:rsidP="00504E1B">
      <w:pPr>
        <w:pStyle w:val="Heading1"/>
        <w:spacing w:after="0"/>
        <w:rPr>
          <w:rFonts w:cs="Arial"/>
          <w:noProof/>
          <w:szCs w:val="24"/>
        </w:rPr>
      </w:pPr>
      <w:r w:rsidRPr="00C241EC">
        <w:rPr>
          <w:rFonts w:cs="Arial"/>
          <w:szCs w:val="24"/>
        </w:rPr>
        <w:t xml:space="preserve">Item </w:t>
      </w:r>
      <w:r w:rsidRPr="00C241EC">
        <w:rPr>
          <w:rFonts w:cs="Arial"/>
          <w:noProof/>
          <w:szCs w:val="24"/>
        </w:rPr>
        <w:t>2</w:t>
      </w:r>
      <w:r w:rsidRPr="00C241EC">
        <w:rPr>
          <w:rFonts w:cs="Arial"/>
          <w:snapToGrid/>
          <w:szCs w:val="24"/>
        </w:rPr>
        <w:br/>
      </w:r>
      <w:r w:rsidRPr="00C241EC">
        <w:rPr>
          <w:rFonts w:cs="Arial"/>
          <w:szCs w:val="24"/>
        </w:rPr>
        <w:t>Chapter</w:t>
      </w:r>
      <w:r w:rsidRPr="00C241EC">
        <w:rPr>
          <w:rFonts w:cs="Arial"/>
          <w:noProof/>
          <w:szCs w:val="24"/>
        </w:rPr>
        <w:t xml:space="preserve"> 2 Definitions, </w:t>
      </w:r>
      <w:r w:rsidRPr="00C241EC">
        <w:rPr>
          <w:rFonts w:cs="Arial"/>
          <w:szCs w:val="24"/>
        </w:rPr>
        <w:t>Section 202 Definitions</w:t>
      </w:r>
    </w:p>
    <w:p w14:paraId="2FEBD51D" w14:textId="360F4533" w:rsidR="00504E1B" w:rsidRPr="00C241EC" w:rsidRDefault="00504E1B" w:rsidP="000938BE">
      <w:pPr>
        <w:spacing w:before="120" w:after="120"/>
        <w:rPr>
          <w:rFonts w:ascii="Arial" w:hAnsi="Arial" w:cs="Arial"/>
          <w:b/>
          <w:bCs/>
          <w:szCs w:val="24"/>
          <w:u w:val="single"/>
        </w:rPr>
      </w:pPr>
      <w:r w:rsidRPr="00C241EC">
        <w:rPr>
          <w:rFonts w:ascii="Arial" w:hAnsi="Arial" w:cs="Arial"/>
          <w:b/>
          <w:bCs/>
          <w:szCs w:val="24"/>
          <w:u w:val="single"/>
        </w:rPr>
        <w:t>ELECTRIC VEHICLE (EV) READY SPACE.</w:t>
      </w:r>
      <w:r w:rsidRPr="000F78CA">
        <w:rPr>
          <w:rFonts w:ascii="Arial" w:hAnsi="Arial" w:cs="Arial"/>
          <w:szCs w:val="24"/>
        </w:rPr>
        <w:t xml:space="preserve"> </w:t>
      </w:r>
      <w:r w:rsidR="000F78CA" w:rsidRPr="000F78CA">
        <w:rPr>
          <w:rFonts w:ascii="Arial" w:hAnsi="Arial" w:cs="Arial"/>
          <w:szCs w:val="24"/>
        </w:rPr>
        <w:t xml:space="preserve">(begin double underline) </w:t>
      </w:r>
      <w:r w:rsidRPr="000F78CA">
        <w:rPr>
          <w:rFonts w:ascii="Arial" w:hAnsi="Arial" w:cs="Arial"/>
          <w:b/>
          <w:bCs/>
          <w:szCs w:val="24"/>
          <w:u w:val="double"/>
        </w:rPr>
        <w:t>[HCD]</w:t>
      </w:r>
      <w:r w:rsidRPr="00C241EC">
        <w:rPr>
          <w:rFonts w:ascii="Arial" w:hAnsi="Arial" w:cs="Arial"/>
          <w:b/>
          <w:bCs/>
          <w:szCs w:val="24"/>
          <w:u w:val="double"/>
        </w:rPr>
        <w:t xml:space="preserve"> </w:t>
      </w:r>
      <w:r w:rsidR="000F78CA" w:rsidRPr="000F78CA">
        <w:rPr>
          <w:rFonts w:ascii="Arial" w:hAnsi="Arial" w:cs="Arial"/>
          <w:szCs w:val="24"/>
        </w:rPr>
        <w:t xml:space="preserve">(end double underline) </w:t>
      </w:r>
      <w:r w:rsidRPr="00C241EC">
        <w:rPr>
          <w:rFonts w:ascii="Arial" w:hAnsi="Arial" w:cs="Arial"/>
          <w:szCs w:val="24"/>
          <w:u w:val="single"/>
        </w:rPr>
        <w:t xml:space="preserve">A </w:t>
      </w:r>
      <w:r w:rsidR="00271D74" w:rsidRPr="003412C7">
        <w:rPr>
          <w:rFonts w:ascii="Arial" w:hAnsi="Arial" w:cs="Arial"/>
          <w:szCs w:val="24"/>
        </w:rPr>
        <w:t>(begin double underline)</w:t>
      </w:r>
      <w:r w:rsidR="003412C7" w:rsidRPr="003412C7">
        <w:rPr>
          <w:rFonts w:ascii="Arial" w:hAnsi="Arial" w:cs="Arial"/>
          <w:szCs w:val="24"/>
        </w:rPr>
        <w:t xml:space="preserve"> </w:t>
      </w:r>
      <w:r w:rsidRPr="00C241EC">
        <w:rPr>
          <w:rFonts w:ascii="Arial" w:hAnsi="Arial" w:cs="Arial"/>
          <w:szCs w:val="24"/>
          <w:u w:val="double"/>
        </w:rPr>
        <w:t>vehicle</w:t>
      </w:r>
      <w:r w:rsidRPr="00C241EC">
        <w:rPr>
          <w:rFonts w:ascii="Arial" w:hAnsi="Arial" w:cs="Arial"/>
          <w:szCs w:val="24"/>
          <w:u w:val="single"/>
        </w:rPr>
        <w:t xml:space="preserve"> </w:t>
      </w:r>
      <w:bookmarkStart w:id="1" w:name="_Hlk84934381"/>
      <w:r w:rsidR="003412C7">
        <w:rPr>
          <w:rFonts w:ascii="Arial" w:hAnsi="Arial" w:cs="Arial"/>
          <w:szCs w:val="24"/>
        </w:rPr>
        <w:t xml:space="preserve">(end double underline) </w:t>
      </w:r>
      <w:bookmarkEnd w:id="1"/>
      <w:r w:rsidRPr="00C241EC">
        <w:rPr>
          <w:rFonts w:ascii="Arial" w:hAnsi="Arial" w:cs="Arial"/>
          <w:szCs w:val="24"/>
          <w:u w:val="single"/>
        </w:rPr>
        <w:t>space which is provided with a branch circuit; any necessary raceways, both underground and/or surface mounted; to accommodate EV charging, terminating in a receptacle or a charger.</w:t>
      </w:r>
    </w:p>
    <w:p w14:paraId="21FE6068" w14:textId="049D7013" w:rsidR="00504E1B" w:rsidRPr="00C241EC" w:rsidRDefault="00504E1B" w:rsidP="00924593">
      <w:pPr>
        <w:spacing w:before="120" w:after="240"/>
        <w:rPr>
          <w:rFonts w:ascii="Arial" w:hAnsi="Arial" w:cs="Arial"/>
          <w:szCs w:val="24"/>
        </w:rPr>
      </w:pPr>
      <w:r w:rsidRPr="00C241EC">
        <w:rPr>
          <w:rFonts w:ascii="Arial" w:hAnsi="Arial" w:cs="Arial"/>
          <w:b/>
          <w:szCs w:val="24"/>
        </w:rPr>
        <w:t>Rationale:</w:t>
      </w:r>
      <w:r w:rsidRPr="00C241EC">
        <w:rPr>
          <w:rFonts w:ascii="Arial" w:hAnsi="Arial" w:cs="Arial"/>
          <w:szCs w:val="24"/>
        </w:rPr>
        <w:t xml:space="preserve"> </w:t>
      </w:r>
      <w:r w:rsidRPr="00C241EC">
        <w:rPr>
          <w:rFonts w:ascii="Arial" w:hAnsi="Arial" w:cs="Arial"/>
          <w:noProof/>
          <w:szCs w:val="24"/>
        </w:rPr>
        <w:t xml:space="preserve">HCD proposes to add the HCD banner to clarify that the definition applies to the electric vehicle (EV) ready space provisions adopted by HCD in section 4.106.4 and A4.106.8.2. HCD also proposes addition of the word “vehicle” for purposes of </w:t>
      </w:r>
      <w:r w:rsidRPr="00C241EC">
        <w:rPr>
          <w:rFonts w:ascii="Arial" w:hAnsi="Arial" w:cs="Arial"/>
          <w:noProof/>
          <w:szCs w:val="24"/>
        </w:rPr>
        <w:lastRenderedPageBreak/>
        <w:t xml:space="preserve">consistency with other definitions such as “electric vehicle capable space.” There is no change in regulatory effect from the original proposed </w:t>
      </w:r>
      <w:r w:rsidR="004A12C4" w:rsidRPr="00C241EC">
        <w:rPr>
          <w:rFonts w:ascii="Arial" w:hAnsi="Arial" w:cs="Arial"/>
          <w:noProof/>
          <w:szCs w:val="24"/>
        </w:rPr>
        <w:t xml:space="preserve">45-day text </w:t>
      </w:r>
      <w:r w:rsidRPr="00C241EC">
        <w:rPr>
          <w:rFonts w:ascii="Arial" w:hAnsi="Arial" w:cs="Arial"/>
          <w:noProof/>
          <w:szCs w:val="24"/>
        </w:rPr>
        <w:t>definition.</w:t>
      </w:r>
    </w:p>
    <w:p w14:paraId="36C54069" w14:textId="77777777" w:rsidR="00504E1B" w:rsidRPr="00C241EC" w:rsidRDefault="00504E1B" w:rsidP="00D0669F">
      <w:pPr>
        <w:spacing w:before="120"/>
        <w:rPr>
          <w:rFonts w:ascii="Arial" w:hAnsi="Arial" w:cs="Arial"/>
          <w:szCs w:val="24"/>
        </w:rPr>
      </w:pPr>
      <w:r w:rsidRPr="00C241EC">
        <w:rPr>
          <w:rFonts w:ascii="Arial" w:hAnsi="Arial" w:cs="Arial"/>
          <w:b/>
          <w:szCs w:val="24"/>
        </w:rPr>
        <w:t>Notation:</w:t>
      </w:r>
    </w:p>
    <w:p w14:paraId="4844D2B0" w14:textId="77777777" w:rsidR="00504E1B" w:rsidRPr="00C241EC" w:rsidRDefault="00504E1B" w:rsidP="00D0669F">
      <w:pPr>
        <w:spacing w:before="120" w:after="120"/>
        <w:rPr>
          <w:rFonts w:ascii="Arial" w:hAnsi="Arial" w:cs="Arial"/>
          <w:szCs w:val="24"/>
        </w:rPr>
      </w:pPr>
      <w:r w:rsidRPr="00C241EC">
        <w:rPr>
          <w:rFonts w:ascii="Arial" w:hAnsi="Arial" w:cs="Arial"/>
          <w:szCs w:val="24"/>
        </w:rPr>
        <w:t>Authority: Health and Safety Code Sections 17040, 17920.9, 17921, 17921.5, 17921.10, 17922, 17922.12, 17922.14, 17928, 18938.3, 18941.10, 18944.11, and 19990; and Government Code Sections 12955.1 and 12955.1.1.</w:t>
      </w:r>
    </w:p>
    <w:p w14:paraId="13537BE9" w14:textId="77777777" w:rsidR="00504E1B" w:rsidRPr="00C241EC" w:rsidRDefault="00504E1B" w:rsidP="00F74129">
      <w:pPr>
        <w:spacing w:before="120" w:after="120"/>
        <w:rPr>
          <w:rFonts w:ascii="Arial" w:hAnsi="Arial" w:cs="Arial"/>
          <w:noProof/>
          <w:szCs w:val="24"/>
        </w:rPr>
      </w:pPr>
      <w:r w:rsidRPr="00C241EC">
        <w:rPr>
          <w:rFonts w:ascii="Arial" w:hAnsi="Arial" w:cs="Arial"/>
          <w:szCs w:val="24"/>
        </w:rPr>
        <w:t>Reference(s):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448809A" w14:textId="77777777" w:rsidR="00504E1B" w:rsidRPr="00C241EC" w:rsidRDefault="00504E1B" w:rsidP="00504E1B">
      <w:pPr>
        <w:pStyle w:val="Heading1"/>
        <w:spacing w:after="0"/>
        <w:rPr>
          <w:rFonts w:cs="Arial"/>
          <w:b w:val="0"/>
          <w:szCs w:val="24"/>
        </w:rPr>
      </w:pPr>
      <w:r w:rsidRPr="00C241EC">
        <w:rPr>
          <w:rFonts w:cs="Arial"/>
          <w:szCs w:val="24"/>
        </w:rPr>
        <w:t xml:space="preserve">Item </w:t>
      </w:r>
      <w:r w:rsidRPr="00C241EC">
        <w:rPr>
          <w:rFonts w:cs="Arial"/>
          <w:noProof/>
          <w:szCs w:val="24"/>
        </w:rPr>
        <w:t>4</w:t>
      </w:r>
      <w:r w:rsidRPr="00C241EC">
        <w:rPr>
          <w:rFonts w:cs="Arial"/>
          <w:snapToGrid/>
          <w:szCs w:val="24"/>
        </w:rPr>
        <w:br/>
      </w:r>
      <w:r w:rsidRPr="00C241EC">
        <w:rPr>
          <w:rFonts w:cs="Arial"/>
          <w:szCs w:val="24"/>
        </w:rPr>
        <w:t xml:space="preserve">Chapter 4 Residential Mandatory Measures, </w:t>
      </w:r>
      <w:bookmarkStart w:id="2" w:name="_Hlk83383128"/>
      <w:r w:rsidRPr="00C241EC">
        <w:rPr>
          <w:rFonts w:cs="Arial"/>
          <w:szCs w:val="24"/>
        </w:rPr>
        <w:t xml:space="preserve">Section </w:t>
      </w:r>
      <w:r w:rsidRPr="00C241EC">
        <w:rPr>
          <w:rFonts w:cs="Arial"/>
          <w:bCs/>
          <w:snapToGrid/>
          <w:szCs w:val="24"/>
        </w:rPr>
        <w:t>4.106 Site Development</w:t>
      </w:r>
      <w:bookmarkEnd w:id="2"/>
    </w:p>
    <w:p w14:paraId="0C7A6133" w14:textId="49C9C8D7" w:rsidR="00504E1B" w:rsidRPr="00C241EC" w:rsidRDefault="00504E1B" w:rsidP="00504E1B">
      <w:pPr>
        <w:autoSpaceDE w:val="0"/>
        <w:autoSpaceDN w:val="0"/>
        <w:adjustRightInd w:val="0"/>
        <w:spacing w:before="120" w:after="120"/>
        <w:rPr>
          <w:rFonts w:ascii="Arial" w:hAnsi="Arial" w:cs="Arial"/>
          <w:szCs w:val="24"/>
        </w:rPr>
      </w:pPr>
      <w:r w:rsidRPr="00C241EC">
        <w:rPr>
          <w:rFonts w:ascii="Arial" w:hAnsi="Arial" w:cs="Arial"/>
          <w:b/>
          <w:bCs/>
          <w:szCs w:val="24"/>
        </w:rPr>
        <w:t xml:space="preserve">4.106.4 Electric vehicle (EV) charging for new construction. (Title included for context only; no change to original proposed </w:t>
      </w:r>
      <w:r w:rsidR="006F6A67" w:rsidRPr="00C241EC">
        <w:rPr>
          <w:rFonts w:ascii="Arial" w:hAnsi="Arial" w:cs="Arial"/>
          <w:b/>
          <w:bCs/>
          <w:szCs w:val="24"/>
        </w:rPr>
        <w:t xml:space="preserve">45-day </w:t>
      </w:r>
      <w:r w:rsidRPr="00C241EC">
        <w:rPr>
          <w:rFonts w:ascii="Arial" w:hAnsi="Arial" w:cs="Arial"/>
          <w:b/>
          <w:bCs/>
          <w:szCs w:val="24"/>
        </w:rPr>
        <w:t>text.)</w:t>
      </w:r>
    </w:p>
    <w:p w14:paraId="4DEF9F6B" w14:textId="1B1436D1" w:rsidR="00504E1B" w:rsidRPr="00C241EC" w:rsidRDefault="00504E1B" w:rsidP="00504E1B">
      <w:pPr>
        <w:autoSpaceDE w:val="0"/>
        <w:autoSpaceDN w:val="0"/>
        <w:adjustRightInd w:val="0"/>
        <w:spacing w:before="120" w:after="120"/>
        <w:ind w:left="360"/>
        <w:rPr>
          <w:rFonts w:ascii="Arial" w:hAnsi="Arial" w:cs="Arial"/>
          <w:b/>
          <w:bCs/>
          <w:szCs w:val="24"/>
          <w:u w:val="single"/>
        </w:rPr>
      </w:pPr>
      <w:r w:rsidRPr="00C241EC">
        <w:rPr>
          <w:rFonts w:ascii="Arial" w:hAnsi="Arial" w:cs="Arial"/>
          <w:b/>
          <w:bCs/>
          <w:szCs w:val="24"/>
          <w:u w:val="single"/>
        </w:rPr>
        <w:t>4.106.4.2.2 Multifamily development projects with 20 or more dwelling units, hotels and motels with 20 or more sleeping units or guest rooms.</w:t>
      </w:r>
      <w:r w:rsidRPr="00C241EC">
        <w:rPr>
          <w:rFonts w:ascii="Arial" w:hAnsi="Arial" w:cs="Arial"/>
          <w:szCs w:val="24"/>
        </w:rPr>
        <w:t xml:space="preserve"> </w:t>
      </w:r>
      <w:bookmarkStart w:id="3" w:name="_Hlk83375081"/>
      <w:r w:rsidRPr="00C241EC">
        <w:rPr>
          <w:rFonts w:ascii="Arial" w:hAnsi="Arial" w:cs="Arial"/>
          <w:szCs w:val="24"/>
        </w:rPr>
        <w:t xml:space="preserve">(No proposed changes </w:t>
      </w:r>
      <w:r w:rsidR="006F6A67" w:rsidRPr="00C241EC">
        <w:rPr>
          <w:rFonts w:ascii="Arial" w:hAnsi="Arial" w:cs="Arial"/>
          <w:szCs w:val="24"/>
        </w:rPr>
        <w:t>to 45-day text for</w:t>
      </w:r>
      <w:r w:rsidRPr="00C241EC">
        <w:rPr>
          <w:rFonts w:ascii="Arial" w:hAnsi="Arial" w:cs="Arial"/>
          <w:szCs w:val="24"/>
        </w:rPr>
        <w:t xml:space="preserve"> this paragraph or Items 1 and 2.)</w:t>
      </w:r>
    </w:p>
    <w:bookmarkEnd w:id="3"/>
    <w:p w14:paraId="7CC3A70E" w14:textId="23A92F42" w:rsidR="00504E1B" w:rsidRPr="00C241EC" w:rsidRDefault="00504E1B" w:rsidP="00504E1B">
      <w:pPr>
        <w:pStyle w:val="ListParagraph"/>
        <w:widowControl/>
        <w:numPr>
          <w:ilvl w:val="0"/>
          <w:numId w:val="7"/>
        </w:numPr>
        <w:autoSpaceDE w:val="0"/>
        <w:autoSpaceDN w:val="0"/>
        <w:adjustRightInd w:val="0"/>
        <w:spacing w:before="120" w:after="120"/>
        <w:contextualSpacing w:val="0"/>
        <w:rPr>
          <w:rFonts w:ascii="Arial" w:hAnsi="Arial" w:cs="Arial"/>
          <w:szCs w:val="24"/>
          <w:shd w:val="clear" w:color="auto" w:fill="FFFFFF"/>
        </w:rPr>
      </w:pPr>
      <w:r w:rsidRPr="00C241EC">
        <w:rPr>
          <w:rFonts w:ascii="Arial" w:hAnsi="Arial" w:cs="Arial"/>
          <w:b/>
          <w:bCs/>
          <w:szCs w:val="24"/>
          <w:u w:val="single"/>
        </w:rPr>
        <w:t>EV Capable</w:t>
      </w:r>
      <w:r w:rsidRPr="00C241EC">
        <w:rPr>
          <w:rFonts w:ascii="Arial" w:hAnsi="Arial" w:cs="Arial"/>
          <w:szCs w:val="24"/>
          <w:u w:val="single"/>
        </w:rPr>
        <w:t>.</w:t>
      </w:r>
      <w:r w:rsidRPr="00C241EC">
        <w:rPr>
          <w:rFonts w:ascii="Arial" w:hAnsi="Arial" w:cs="Arial"/>
          <w:szCs w:val="24"/>
        </w:rPr>
        <w:t xml:space="preserve"> (No change to proposed </w:t>
      </w:r>
      <w:r w:rsidR="004A12C4" w:rsidRPr="00C241EC">
        <w:rPr>
          <w:rFonts w:ascii="Arial" w:hAnsi="Arial" w:cs="Arial"/>
          <w:szCs w:val="24"/>
        </w:rPr>
        <w:t xml:space="preserve">45-day </w:t>
      </w:r>
      <w:r w:rsidRPr="00C241EC">
        <w:rPr>
          <w:rFonts w:ascii="Arial" w:hAnsi="Arial" w:cs="Arial"/>
          <w:szCs w:val="24"/>
        </w:rPr>
        <w:t>text.)</w:t>
      </w:r>
    </w:p>
    <w:p w14:paraId="78ECC675" w14:textId="37D7374E" w:rsidR="00504E1B" w:rsidRPr="00C241EC" w:rsidRDefault="00504E1B" w:rsidP="00504E1B">
      <w:pPr>
        <w:pStyle w:val="ListParagraph"/>
        <w:numPr>
          <w:ilvl w:val="0"/>
          <w:numId w:val="7"/>
        </w:numPr>
        <w:rPr>
          <w:rFonts w:ascii="Arial" w:hAnsi="Arial" w:cs="Arial"/>
          <w:szCs w:val="24"/>
          <w:shd w:val="clear" w:color="auto" w:fill="FFFFFF"/>
        </w:rPr>
      </w:pPr>
      <w:r w:rsidRPr="00C241EC">
        <w:rPr>
          <w:rFonts w:ascii="Arial" w:eastAsia="Times New Roman" w:hAnsi="Arial" w:cs="Arial"/>
          <w:b/>
          <w:bCs/>
          <w:szCs w:val="24"/>
          <w:u w:val="single"/>
          <w:shd w:val="clear" w:color="auto" w:fill="FFFFFF"/>
        </w:rPr>
        <w:t>EV Ready.</w:t>
      </w:r>
      <w:r w:rsidRPr="00C241EC">
        <w:rPr>
          <w:rFonts w:ascii="Arial" w:eastAsia="Times New Roman" w:hAnsi="Arial" w:cs="Arial"/>
          <w:szCs w:val="24"/>
          <w:shd w:val="clear" w:color="auto" w:fill="FFFFFF"/>
        </w:rPr>
        <w:t xml:space="preserve"> (No change to proposed </w:t>
      </w:r>
      <w:r w:rsidR="004A12C4" w:rsidRPr="00C241EC">
        <w:rPr>
          <w:rFonts w:ascii="Arial" w:eastAsia="Times New Roman" w:hAnsi="Arial" w:cs="Arial"/>
          <w:szCs w:val="24"/>
          <w:shd w:val="clear" w:color="auto" w:fill="FFFFFF"/>
        </w:rPr>
        <w:t xml:space="preserve">45-day </w:t>
      </w:r>
      <w:r w:rsidRPr="00C241EC">
        <w:rPr>
          <w:rFonts w:ascii="Arial" w:eastAsia="Times New Roman" w:hAnsi="Arial" w:cs="Arial"/>
          <w:szCs w:val="24"/>
          <w:shd w:val="clear" w:color="auto" w:fill="FFFFFF"/>
        </w:rPr>
        <w:t>text.)</w:t>
      </w:r>
    </w:p>
    <w:p w14:paraId="2E8678CE" w14:textId="0991208D" w:rsidR="00504E1B" w:rsidRPr="00C241EC" w:rsidRDefault="00504E1B" w:rsidP="00504E1B">
      <w:pPr>
        <w:pStyle w:val="ListParagraph"/>
        <w:widowControl/>
        <w:numPr>
          <w:ilvl w:val="0"/>
          <w:numId w:val="7"/>
        </w:numPr>
        <w:spacing w:before="120" w:after="120"/>
        <w:contextualSpacing w:val="0"/>
        <w:rPr>
          <w:rFonts w:ascii="Arial" w:eastAsia="Times New Roman" w:hAnsi="Arial" w:cs="Arial"/>
          <w:szCs w:val="24"/>
          <w:u w:val="single"/>
          <w:shd w:val="clear" w:color="auto" w:fill="FFFFFF"/>
        </w:rPr>
      </w:pPr>
      <w:r w:rsidRPr="00C241EC">
        <w:rPr>
          <w:rFonts w:ascii="Arial" w:eastAsia="Times New Roman" w:hAnsi="Arial" w:cs="Arial"/>
          <w:b/>
          <w:bCs/>
          <w:szCs w:val="24"/>
          <w:u w:val="single"/>
          <w:shd w:val="clear" w:color="auto" w:fill="FFFFFF"/>
        </w:rPr>
        <w:t>EV Chargers.</w:t>
      </w:r>
      <w:r w:rsidRPr="00C241EC">
        <w:rPr>
          <w:rFonts w:ascii="Arial" w:eastAsia="Times New Roman" w:hAnsi="Arial" w:cs="Arial"/>
          <w:szCs w:val="24"/>
          <w:u w:val="single"/>
          <w:shd w:val="clear" w:color="auto" w:fill="FFFFFF"/>
        </w:rPr>
        <w:t xml:space="preserve"> </w:t>
      </w:r>
      <w:r w:rsidRPr="00C241EC">
        <w:rPr>
          <w:rFonts w:ascii="Arial" w:hAnsi="Arial" w:cs="Arial"/>
          <w:szCs w:val="24"/>
          <w:u w:val="single"/>
          <w:bdr w:val="none" w:sz="0" w:space="0" w:color="auto" w:frame="1"/>
        </w:rPr>
        <w:t xml:space="preserve">Five (5) percent of the total number of parking spaces shall be equipped with Level 2 EVSE. </w:t>
      </w:r>
      <w:r w:rsidRPr="00C241EC">
        <w:rPr>
          <w:rFonts w:ascii="Arial" w:hAnsi="Arial" w:cs="Arial"/>
          <w:szCs w:val="24"/>
          <w:u w:val="single"/>
        </w:rPr>
        <w:t xml:space="preserve">Where common use parking is provided, at least one EV charger shall </w:t>
      </w:r>
      <w:proofErr w:type="gramStart"/>
      <w:r w:rsidRPr="00C241EC">
        <w:rPr>
          <w:rFonts w:ascii="Arial" w:hAnsi="Arial" w:cs="Arial"/>
          <w:szCs w:val="24"/>
          <w:u w:val="single"/>
        </w:rPr>
        <w:t>be located in</w:t>
      </w:r>
      <w:proofErr w:type="gramEnd"/>
      <w:r w:rsidRPr="00C241EC">
        <w:rPr>
          <w:rFonts w:ascii="Arial" w:hAnsi="Arial" w:cs="Arial"/>
          <w:szCs w:val="24"/>
          <w:u w:val="single"/>
        </w:rPr>
        <w:t xml:space="preserve"> the common use parking area and shall be available for use by all residents or guests</w:t>
      </w:r>
      <w:r w:rsidRPr="00C241EC">
        <w:rPr>
          <w:rFonts w:ascii="Arial" w:hAnsi="Arial" w:cs="Arial"/>
          <w:szCs w:val="24"/>
          <w:u w:val="single"/>
          <w:bdr w:val="none" w:sz="0" w:space="0" w:color="auto" w:frame="1"/>
        </w:rPr>
        <w:t>.</w:t>
      </w:r>
      <w:r w:rsidRPr="00597953">
        <w:rPr>
          <w:rFonts w:ascii="Arial" w:hAnsi="Arial" w:cs="Arial"/>
          <w:szCs w:val="24"/>
          <w:bdr w:val="none" w:sz="0" w:space="0" w:color="auto" w:frame="1"/>
        </w:rPr>
        <w:t xml:space="preserve"> </w:t>
      </w:r>
      <w:r w:rsidR="001B72F9" w:rsidRPr="00597953">
        <w:rPr>
          <w:rFonts w:ascii="Arial" w:hAnsi="Arial" w:cs="Arial"/>
          <w:szCs w:val="24"/>
          <w:bdr w:val="none" w:sz="0" w:space="0" w:color="auto" w:frame="1"/>
        </w:rPr>
        <w:t xml:space="preserve">(begin double strikeout) </w:t>
      </w:r>
      <w:r w:rsidRPr="00C241EC">
        <w:rPr>
          <w:rFonts w:ascii="Arial" w:hAnsi="Arial" w:cs="Arial"/>
          <w:dstrike/>
          <w:szCs w:val="24"/>
          <w:u w:val="single"/>
        </w:rPr>
        <w:t>When chargers are installed, spaces shall comply with Sections 4.106.4.2.2.1 and 4.106.4.2.2.2.</w:t>
      </w:r>
      <w:r w:rsidR="001B72F9" w:rsidRPr="00597953">
        <w:rPr>
          <w:rFonts w:ascii="Arial" w:hAnsi="Arial" w:cs="Arial"/>
          <w:szCs w:val="24"/>
        </w:rPr>
        <w:t>(end double stri</w:t>
      </w:r>
      <w:r w:rsidR="00597953" w:rsidRPr="00597953">
        <w:rPr>
          <w:rFonts w:ascii="Arial" w:hAnsi="Arial" w:cs="Arial"/>
          <w:szCs w:val="24"/>
        </w:rPr>
        <w:t xml:space="preserve">keout) </w:t>
      </w:r>
    </w:p>
    <w:p w14:paraId="3142F533" w14:textId="1DFA079D" w:rsidR="00F74129" w:rsidRPr="00C241EC" w:rsidRDefault="00504E1B" w:rsidP="00FA2131">
      <w:pPr>
        <w:pStyle w:val="ListParagraph"/>
        <w:widowControl/>
        <w:spacing w:before="120" w:after="240"/>
        <w:contextualSpacing w:val="0"/>
        <w:rPr>
          <w:rFonts w:ascii="Arial" w:eastAsia="Times New Roman" w:hAnsi="Arial" w:cs="Arial"/>
          <w:szCs w:val="24"/>
          <w:u w:val="single"/>
        </w:rPr>
      </w:pPr>
      <w:r w:rsidRPr="00C241EC">
        <w:rPr>
          <w:rFonts w:ascii="Arial" w:eastAsia="Times New Roman" w:hAnsi="Arial" w:cs="Arial"/>
          <w:szCs w:val="24"/>
          <w:u w:val="single"/>
        </w:rPr>
        <w:t xml:space="preserve">When </w:t>
      </w:r>
      <w:r w:rsidR="00597953" w:rsidRPr="000F78CA">
        <w:rPr>
          <w:rFonts w:ascii="Arial" w:hAnsi="Arial" w:cs="Arial"/>
          <w:szCs w:val="24"/>
        </w:rPr>
        <w:t xml:space="preserve">(begin double underline) </w:t>
      </w:r>
      <w:r w:rsidRPr="00C241EC">
        <w:rPr>
          <w:rFonts w:ascii="Arial" w:eastAsia="Times New Roman" w:hAnsi="Arial" w:cs="Arial"/>
          <w:szCs w:val="24"/>
          <w:u w:val="double"/>
        </w:rPr>
        <w:t>low power Level 2 EV charging receptacles or</w:t>
      </w:r>
      <w:r w:rsidRPr="00C241EC">
        <w:rPr>
          <w:rFonts w:ascii="Arial" w:eastAsia="Times New Roman" w:hAnsi="Arial" w:cs="Arial"/>
          <w:szCs w:val="24"/>
          <w:u w:val="single"/>
        </w:rPr>
        <w:t xml:space="preserve"> </w:t>
      </w:r>
      <w:r w:rsidR="00597953">
        <w:rPr>
          <w:rFonts w:ascii="Arial" w:hAnsi="Arial" w:cs="Arial"/>
          <w:szCs w:val="24"/>
        </w:rPr>
        <w:t xml:space="preserve">(end double underline) </w:t>
      </w:r>
      <w:r w:rsidRPr="00C241EC">
        <w:rPr>
          <w:rFonts w:ascii="Arial" w:eastAsia="Times New Roman" w:hAnsi="Arial" w:cs="Arial"/>
          <w:szCs w:val="24"/>
          <w:u w:val="single"/>
        </w:rPr>
        <w:t>Level 2 EVSE</w:t>
      </w:r>
      <w:r w:rsidR="00597953" w:rsidRPr="00597953">
        <w:rPr>
          <w:rFonts w:ascii="Arial" w:hAnsi="Arial" w:cs="Arial"/>
          <w:szCs w:val="24"/>
          <w:bdr w:val="none" w:sz="0" w:space="0" w:color="auto" w:frame="1"/>
        </w:rPr>
        <w:t xml:space="preserve">(begin double strikeout) </w:t>
      </w:r>
      <w:r w:rsidRPr="00C241EC">
        <w:rPr>
          <w:rFonts w:ascii="Arial" w:eastAsia="Times New Roman" w:hAnsi="Arial" w:cs="Arial"/>
          <w:szCs w:val="24"/>
          <w:u w:val="single"/>
        </w:rPr>
        <w:t xml:space="preserve"> </w:t>
      </w:r>
      <w:r w:rsidRPr="00C241EC">
        <w:rPr>
          <w:rFonts w:ascii="Arial" w:eastAsia="Times New Roman" w:hAnsi="Arial" w:cs="Arial"/>
          <w:dstrike/>
          <w:szCs w:val="24"/>
          <w:u w:val="single"/>
        </w:rPr>
        <w:t xml:space="preserve">is </w:t>
      </w:r>
      <w:r w:rsidR="00597953" w:rsidRPr="00597953">
        <w:rPr>
          <w:rFonts w:ascii="Arial" w:hAnsi="Arial" w:cs="Arial"/>
          <w:szCs w:val="24"/>
        </w:rPr>
        <w:t xml:space="preserve">(end double strikeout) </w:t>
      </w:r>
      <w:r w:rsidR="00597953" w:rsidRPr="000F78CA">
        <w:rPr>
          <w:rFonts w:ascii="Arial" w:hAnsi="Arial" w:cs="Arial"/>
          <w:szCs w:val="24"/>
        </w:rPr>
        <w:t xml:space="preserve">(begin double underline) </w:t>
      </w:r>
      <w:r w:rsidRPr="00C241EC">
        <w:rPr>
          <w:rFonts w:ascii="Arial" w:eastAsia="Times New Roman" w:hAnsi="Arial" w:cs="Arial"/>
          <w:szCs w:val="24"/>
          <w:u w:val="double"/>
        </w:rPr>
        <w:t>are</w:t>
      </w:r>
      <w:r w:rsidR="00597953">
        <w:rPr>
          <w:rFonts w:ascii="Arial" w:hAnsi="Arial" w:cs="Arial"/>
          <w:szCs w:val="24"/>
        </w:rPr>
        <w:t xml:space="preserve">(end double underline) </w:t>
      </w:r>
      <w:r w:rsidRPr="00C241EC">
        <w:rPr>
          <w:rFonts w:ascii="Arial" w:eastAsia="Times New Roman" w:hAnsi="Arial" w:cs="Arial"/>
          <w:szCs w:val="24"/>
          <w:u w:val="single"/>
        </w:rPr>
        <w:t xml:space="preserve"> installed beyond the minimum required,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EVSE shall have a capacity of not less than 30 amperes. ALMS shall not be used to reduce the minimum required electrical capacity to the required EV capable spaces.</w:t>
      </w:r>
    </w:p>
    <w:p w14:paraId="695924DA" w14:textId="61867973" w:rsidR="00504E1B" w:rsidRPr="00C241EC" w:rsidRDefault="00504E1B" w:rsidP="00D0669F">
      <w:pPr>
        <w:spacing w:before="120" w:after="240"/>
        <w:rPr>
          <w:rFonts w:ascii="Arial" w:hAnsi="Arial" w:cs="Arial"/>
          <w:b/>
          <w:bCs/>
          <w:szCs w:val="24"/>
        </w:rPr>
      </w:pPr>
      <w:r w:rsidRPr="00C241EC">
        <w:rPr>
          <w:rFonts w:ascii="Arial" w:hAnsi="Arial" w:cs="Arial"/>
          <w:b/>
          <w:bCs/>
          <w:szCs w:val="24"/>
        </w:rPr>
        <w:t xml:space="preserve">Rationale </w:t>
      </w:r>
      <w:r w:rsidRPr="00021208">
        <w:rPr>
          <w:rFonts w:ascii="Arial" w:hAnsi="Arial" w:cs="Arial"/>
          <w:b/>
          <w:bCs/>
          <w:szCs w:val="24"/>
        </w:rPr>
        <w:t xml:space="preserve">related to </w:t>
      </w:r>
      <w:r w:rsidR="006B2ED4" w:rsidRPr="00021208">
        <w:rPr>
          <w:rFonts w:ascii="Arial" w:hAnsi="Arial" w:cs="Arial"/>
          <w:b/>
          <w:bCs/>
          <w:szCs w:val="24"/>
        </w:rPr>
        <w:t>Section 4.106.2.2</w:t>
      </w:r>
      <w:r w:rsidR="006B2ED4">
        <w:rPr>
          <w:rFonts w:ascii="Arial" w:hAnsi="Arial" w:cs="Arial"/>
          <w:b/>
          <w:bCs/>
          <w:szCs w:val="24"/>
        </w:rPr>
        <w:t xml:space="preserve"> </w:t>
      </w:r>
      <w:r w:rsidR="0027768B">
        <w:rPr>
          <w:rFonts w:ascii="Arial" w:hAnsi="Arial" w:cs="Arial"/>
          <w:b/>
          <w:bCs/>
          <w:szCs w:val="24"/>
        </w:rPr>
        <w:t>Number 3</w:t>
      </w:r>
      <w:r w:rsidR="001146E3" w:rsidRPr="00C241EC">
        <w:rPr>
          <w:rFonts w:ascii="Arial" w:hAnsi="Arial" w:cs="Arial"/>
          <w:b/>
          <w:bCs/>
          <w:szCs w:val="24"/>
        </w:rPr>
        <w:t>:</w:t>
      </w:r>
      <w:r w:rsidRPr="00C241EC">
        <w:rPr>
          <w:rFonts w:ascii="Arial" w:hAnsi="Arial" w:cs="Arial"/>
          <w:b/>
          <w:bCs/>
          <w:szCs w:val="24"/>
        </w:rPr>
        <w:t xml:space="preserve"> </w:t>
      </w:r>
      <w:r w:rsidRPr="00C241EC">
        <w:rPr>
          <w:rFonts w:ascii="Arial" w:hAnsi="Arial" w:cs="Arial"/>
          <w:noProof/>
          <w:szCs w:val="24"/>
        </w:rPr>
        <w:t xml:space="preserve">HCD proposes, in coordination with the Division of the State Architect (DSA), to remove proposed text </w:t>
      </w:r>
      <w:r w:rsidR="004D155B" w:rsidRPr="00C241EC">
        <w:rPr>
          <w:rFonts w:ascii="Arial" w:hAnsi="Arial" w:cs="Arial"/>
          <w:noProof/>
          <w:szCs w:val="24"/>
        </w:rPr>
        <w:t>(</w:t>
      </w:r>
      <w:r w:rsidRPr="00C241EC">
        <w:rPr>
          <w:rFonts w:ascii="Arial" w:hAnsi="Arial" w:cs="Arial"/>
          <w:noProof/>
          <w:szCs w:val="24"/>
        </w:rPr>
        <w:t xml:space="preserve">last sentence) from </w:t>
      </w:r>
      <w:r w:rsidRPr="00C241EC">
        <w:rPr>
          <w:rFonts w:ascii="Arial" w:hAnsi="Arial" w:cs="Arial"/>
          <w:noProof/>
          <w:szCs w:val="24"/>
        </w:rPr>
        <w:lastRenderedPageBreak/>
        <w:t xml:space="preserve">this item </w:t>
      </w:r>
      <w:r w:rsidRPr="00C241EC">
        <w:rPr>
          <w:rFonts w:ascii="Arial" w:hAnsi="Arial" w:cs="Arial"/>
          <w:szCs w:val="24"/>
        </w:rPr>
        <w:t>because reference to the code sections in this sentence are not applicable to the California Building Code (CBC) Chapter</w:t>
      </w:r>
      <w:r w:rsidR="004A12C4" w:rsidRPr="00C241EC">
        <w:rPr>
          <w:rFonts w:ascii="Arial" w:hAnsi="Arial" w:cs="Arial"/>
          <w:szCs w:val="24"/>
        </w:rPr>
        <w:t> </w:t>
      </w:r>
      <w:r w:rsidRPr="00C241EC">
        <w:rPr>
          <w:rFonts w:ascii="Arial" w:hAnsi="Arial" w:cs="Arial"/>
          <w:szCs w:val="24"/>
        </w:rPr>
        <w:t>11B-regulated facilities of public housing, hotels, and motels, and do not reference the exception of these requirements for these facilities</w:t>
      </w:r>
      <w:r w:rsidR="004D155B" w:rsidRPr="00C241EC">
        <w:rPr>
          <w:rFonts w:ascii="Arial" w:hAnsi="Arial" w:cs="Arial"/>
          <w:szCs w:val="24"/>
        </w:rPr>
        <w:t>,</w:t>
      </w:r>
      <w:r w:rsidRPr="00C241EC">
        <w:rPr>
          <w:rFonts w:ascii="Arial" w:hAnsi="Arial" w:cs="Arial"/>
          <w:szCs w:val="24"/>
        </w:rPr>
        <w:t xml:space="preserve"> already in regulation. Further</w:t>
      </w:r>
      <w:r w:rsidR="004D155B" w:rsidRPr="00C241EC">
        <w:rPr>
          <w:rFonts w:ascii="Arial" w:hAnsi="Arial" w:cs="Arial"/>
          <w:szCs w:val="24"/>
        </w:rPr>
        <w:t>,</w:t>
      </w:r>
      <w:r w:rsidRPr="00C241EC">
        <w:rPr>
          <w:rFonts w:ascii="Arial" w:hAnsi="Arial" w:cs="Arial"/>
          <w:szCs w:val="24"/>
        </w:rPr>
        <w:t xml:space="preserve"> </w:t>
      </w:r>
      <w:r w:rsidRPr="00C241EC">
        <w:rPr>
          <w:rFonts w:ascii="Arial" w:hAnsi="Arial" w:cs="Arial"/>
          <w:noProof/>
          <w:szCs w:val="24"/>
        </w:rPr>
        <w:t xml:space="preserve">specificity is proposed in section 4.106.4.2.2.1 as related to EV charging stations </w:t>
      </w:r>
      <w:r w:rsidRPr="00C241EC">
        <w:rPr>
          <w:rFonts w:ascii="Arial" w:hAnsi="Arial" w:cs="Arial"/>
          <w:szCs w:val="24"/>
        </w:rPr>
        <w:t xml:space="preserve">under the scope of the CBC, Chapter 11B. </w:t>
      </w:r>
    </w:p>
    <w:p w14:paraId="2167C31B" w14:textId="77777777" w:rsidR="00504E1B" w:rsidRPr="00C241EC" w:rsidRDefault="00504E1B" w:rsidP="00D0669F">
      <w:pPr>
        <w:spacing w:before="120" w:after="240"/>
        <w:rPr>
          <w:rFonts w:ascii="Arial" w:hAnsi="Arial" w:cs="Arial"/>
          <w:b/>
          <w:bCs/>
          <w:szCs w:val="24"/>
        </w:rPr>
      </w:pPr>
      <w:bookmarkStart w:id="4" w:name="_Hlk83380806"/>
      <w:r w:rsidRPr="00C241EC">
        <w:rPr>
          <w:rFonts w:ascii="Arial" w:hAnsi="Arial" w:cs="Arial"/>
          <w:b/>
          <w:bCs/>
          <w:szCs w:val="24"/>
        </w:rPr>
        <w:t xml:space="preserve">Rationale related to use of automatic load management systems (ALMS): </w:t>
      </w:r>
      <w:r w:rsidRPr="00C241EC">
        <w:rPr>
          <w:rFonts w:ascii="Arial" w:hAnsi="Arial" w:cs="Arial"/>
          <w:noProof/>
          <w:szCs w:val="24"/>
        </w:rPr>
        <w:t>HCD proposes to provide clarification that ALMS may be used as an option for managing electrical loads for both low power Level 2 receptacles and Level 2 electric vehicle service equipment (EVSE; chargers). Use of the ALMS is allowed only for those receptacles and chargers installed in excess of those required by this section.</w:t>
      </w:r>
    </w:p>
    <w:p w14:paraId="45857E0F" w14:textId="77777777" w:rsidR="00600F88" w:rsidRDefault="00504E1B" w:rsidP="00504E1B">
      <w:pPr>
        <w:autoSpaceDE w:val="0"/>
        <w:autoSpaceDN w:val="0"/>
        <w:adjustRightInd w:val="0"/>
        <w:spacing w:before="120" w:after="120"/>
        <w:ind w:left="720"/>
        <w:rPr>
          <w:rFonts w:ascii="Arial" w:hAnsi="Arial" w:cs="Arial"/>
          <w:szCs w:val="24"/>
        </w:rPr>
      </w:pPr>
      <w:bookmarkStart w:id="5" w:name="_Hlk65246895"/>
      <w:bookmarkEnd w:id="4"/>
      <w:r w:rsidRPr="009D295B">
        <w:rPr>
          <w:rFonts w:ascii="Arial" w:hAnsi="Arial" w:cs="Arial"/>
          <w:b/>
          <w:bCs/>
          <w:szCs w:val="24"/>
          <w:u w:val="single"/>
        </w:rPr>
        <w:t xml:space="preserve">4.106.4.2.2.1 </w:t>
      </w:r>
      <w:bookmarkStart w:id="6" w:name="_Hlk65247680"/>
      <w:bookmarkEnd w:id="5"/>
      <w:r w:rsidRPr="009D295B">
        <w:rPr>
          <w:rFonts w:ascii="Arial" w:hAnsi="Arial" w:cs="Arial"/>
          <w:b/>
          <w:bCs/>
          <w:szCs w:val="24"/>
          <w:u w:val="single"/>
        </w:rPr>
        <w:t>Electric vehicle charging stations (EVCS).</w:t>
      </w:r>
      <w:bookmarkEnd w:id="6"/>
      <w:r w:rsidRPr="009D295B">
        <w:rPr>
          <w:rFonts w:ascii="Arial" w:hAnsi="Arial" w:cs="Arial"/>
          <w:b/>
          <w:bCs/>
          <w:szCs w:val="24"/>
          <w:u w:val="single"/>
        </w:rPr>
        <w:t xml:space="preserve"> </w:t>
      </w:r>
      <w:bookmarkStart w:id="7" w:name="_Hlk84934568"/>
      <w:r w:rsidR="00FB30CF" w:rsidRPr="00597953">
        <w:rPr>
          <w:rFonts w:ascii="Arial" w:hAnsi="Arial" w:cs="Arial"/>
          <w:szCs w:val="24"/>
          <w:bdr w:val="none" w:sz="0" w:space="0" w:color="auto" w:frame="1"/>
        </w:rPr>
        <w:t>(begin double strikeout)</w:t>
      </w:r>
      <w:bookmarkEnd w:id="7"/>
      <w:r w:rsidR="00FB30CF" w:rsidRPr="00597953">
        <w:rPr>
          <w:rFonts w:ascii="Arial" w:hAnsi="Arial" w:cs="Arial"/>
          <w:szCs w:val="24"/>
          <w:bdr w:val="none" w:sz="0" w:space="0" w:color="auto" w:frame="1"/>
        </w:rPr>
        <w:t xml:space="preserve"> </w:t>
      </w:r>
      <w:r w:rsidR="00FB30CF" w:rsidRPr="00C241EC">
        <w:rPr>
          <w:rFonts w:ascii="Arial" w:hAnsi="Arial" w:cs="Arial"/>
          <w:szCs w:val="24"/>
          <w:u w:val="single"/>
        </w:rPr>
        <w:t xml:space="preserve"> </w:t>
      </w:r>
      <w:r w:rsidR="0060046F" w:rsidRPr="009D295B">
        <w:rPr>
          <w:rFonts w:ascii="Arial" w:hAnsi="Arial" w:cs="Arial"/>
          <w:dstrike/>
          <w:szCs w:val="24"/>
          <w:u w:val="single"/>
        </w:rPr>
        <w:t>EVCS required by Section 4.106.4.2.2, Item 3, shall comply with at least one of the following options:</w:t>
      </w:r>
      <w:r w:rsidR="00C81700" w:rsidRPr="00C81700">
        <w:rPr>
          <w:rFonts w:ascii="Arial" w:hAnsi="Arial" w:cs="Arial"/>
          <w:szCs w:val="24"/>
        </w:rPr>
        <w:t xml:space="preserve"> </w:t>
      </w:r>
      <w:r w:rsidR="00C81700" w:rsidRPr="00597953">
        <w:rPr>
          <w:rFonts w:ascii="Arial" w:hAnsi="Arial" w:cs="Arial"/>
          <w:szCs w:val="24"/>
        </w:rPr>
        <w:t>(end double strikeout</w:t>
      </w:r>
      <w:r w:rsidR="00C81700" w:rsidRPr="00C81700">
        <w:rPr>
          <w:rFonts w:ascii="Arial" w:hAnsi="Arial" w:cs="Arial"/>
          <w:szCs w:val="24"/>
        </w:rPr>
        <w:t xml:space="preserve">) </w:t>
      </w:r>
      <w:r w:rsidR="00C81700" w:rsidRPr="000F78CA">
        <w:rPr>
          <w:rFonts w:ascii="Arial" w:hAnsi="Arial" w:cs="Arial"/>
          <w:szCs w:val="24"/>
        </w:rPr>
        <w:t xml:space="preserve">(begin double underline) </w:t>
      </w:r>
      <w:r w:rsidRPr="009D295B">
        <w:rPr>
          <w:rFonts w:ascii="Arial" w:hAnsi="Arial" w:cs="Arial"/>
          <w:szCs w:val="24"/>
          <w:u w:val="double"/>
        </w:rPr>
        <w:t xml:space="preserve">Electric vehicle charging stations required by Section 4.106.4.2.2 Item 3 shall comply with Section 4.106.4.2.2.1. </w:t>
      </w:r>
      <w:r w:rsidR="00C81700">
        <w:rPr>
          <w:rFonts w:ascii="Arial" w:hAnsi="Arial" w:cs="Arial"/>
          <w:szCs w:val="24"/>
        </w:rPr>
        <w:t xml:space="preserve">(end double underline) </w:t>
      </w:r>
    </w:p>
    <w:p w14:paraId="5AB67955" w14:textId="2D41EC8D" w:rsidR="00504E1B" w:rsidRPr="009D295B" w:rsidRDefault="00600F88" w:rsidP="00504E1B">
      <w:pPr>
        <w:autoSpaceDE w:val="0"/>
        <w:autoSpaceDN w:val="0"/>
        <w:adjustRightInd w:val="0"/>
        <w:spacing w:before="120" w:after="120"/>
        <w:ind w:left="720"/>
        <w:rPr>
          <w:rFonts w:ascii="Arial" w:hAnsi="Arial" w:cs="Arial"/>
          <w:szCs w:val="24"/>
          <w:u w:val="double"/>
        </w:rPr>
      </w:pPr>
      <w:bookmarkStart w:id="8" w:name="_Hlk84934637"/>
      <w:r w:rsidRPr="00597953">
        <w:rPr>
          <w:rFonts w:ascii="Arial" w:hAnsi="Arial" w:cs="Arial"/>
          <w:szCs w:val="24"/>
          <w:bdr w:val="none" w:sz="0" w:space="0" w:color="auto" w:frame="1"/>
        </w:rPr>
        <w:t>(begin double strikeout)</w:t>
      </w:r>
      <w:bookmarkEnd w:id="8"/>
      <w:r w:rsidR="00C81700" w:rsidRPr="00C241EC">
        <w:rPr>
          <w:rFonts w:ascii="Arial" w:hAnsi="Arial" w:cs="Arial"/>
          <w:szCs w:val="24"/>
          <w:u w:val="single"/>
        </w:rPr>
        <w:t xml:space="preserve"> </w:t>
      </w:r>
    </w:p>
    <w:p w14:paraId="542FECA0" w14:textId="4C8D747D" w:rsidR="00BB4C15" w:rsidRPr="009D295B" w:rsidRDefault="00BB4C15" w:rsidP="00BB4C15">
      <w:pPr>
        <w:pStyle w:val="ListParagraph"/>
        <w:numPr>
          <w:ilvl w:val="0"/>
          <w:numId w:val="9"/>
        </w:numPr>
        <w:autoSpaceDE w:val="0"/>
        <w:autoSpaceDN w:val="0"/>
        <w:adjustRightInd w:val="0"/>
        <w:spacing w:before="120" w:after="120"/>
        <w:contextualSpacing w:val="0"/>
        <w:rPr>
          <w:rFonts w:ascii="Arial" w:hAnsi="Arial" w:cs="Arial"/>
          <w:dstrike/>
          <w:szCs w:val="24"/>
          <w:u w:val="single"/>
        </w:rPr>
      </w:pPr>
      <w:r w:rsidRPr="009D295B">
        <w:rPr>
          <w:rFonts w:ascii="Arial" w:hAnsi="Arial" w:cs="Arial"/>
          <w:dstrike/>
          <w:szCs w:val="24"/>
          <w:u w:val="single"/>
        </w:rPr>
        <w:t>The charging space shall be located adjacent to an accessible parking space meeting the requirements of the California Building Code, Chapter 11A or Chapter 11B as applicable, to allow use of the EV charger from the accessible parking space.</w:t>
      </w:r>
    </w:p>
    <w:p w14:paraId="4D958EFD" w14:textId="77777777" w:rsidR="00BB4C15" w:rsidRPr="009D295B" w:rsidRDefault="00BB4C15" w:rsidP="00BB4C15">
      <w:pPr>
        <w:pStyle w:val="ListParagraph"/>
        <w:numPr>
          <w:ilvl w:val="0"/>
          <w:numId w:val="9"/>
        </w:numPr>
        <w:autoSpaceDE w:val="0"/>
        <w:autoSpaceDN w:val="0"/>
        <w:adjustRightInd w:val="0"/>
        <w:spacing w:before="120" w:after="120"/>
        <w:contextualSpacing w:val="0"/>
        <w:rPr>
          <w:rFonts w:ascii="Arial" w:hAnsi="Arial" w:cs="Arial"/>
          <w:dstrike/>
          <w:szCs w:val="24"/>
          <w:u w:val="single"/>
        </w:rPr>
      </w:pPr>
      <w:r w:rsidRPr="009D295B">
        <w:rPr>
          <w:rFonts w:ascii="Arial" w:hAnsi="Arial" w:cs="Arial"/>
          <w:dstrike/>
          <w:szCs w:val="24"/>
          <w:u w:val="single"/>
        </w:rPr>
        <w:t>The charging space shall be located on an accessible route, as defined in the California Building Code, Chapter 2, to the building.</w:t>
      </w:r>
    </w:p>
    <w:p w14:paraId="7D9B6A15" w14:textId="77777777" w:rsidR="00BB4C15" w:rsidRPr="009D295B" w:rsidRDefault="00BB4C15" w:rsidP="00BB4C15">
      <w:pPr>
        <w:autoSpaceDE w:val="0"/>
        <w:autoSpaceDN w:val="0"/>
        <w:adjustRightInd w:val="0"/>
        <w:spacing w:before="120" w:after="120"/>
        <w:ind w:left="1800"/>
        <w:rPr>
          <w:rFonts w:ascii="Arial" w:hAnsi="Arial" w:cs="Arial"/>
          <w:dstrike/>
          <w:szCs w:val="24"/>
          <w:u w:val="single"/>
        </w:rPr>
      </w:pPr>
      <w:r w:rsidRPr="009D295B">
        <w:rPr>
          <w:rFonts w:ascii="Arial" w:hAnsi="Arial" w:cs="Arial"/>
          <w:b/>
          <w:bCs/>
          <w:dstrike/>
          <w:szCs w:val="24"/>
          <w:u w:val="single"/>
        </w:rPr>
        <w:t>Exception:</w:t>
      </w:r>
      <w:r w:rsidRPr="009D295B">
        <w:rPr>
          <w:rFonts w:ascii="Arial" w:hAnsi="Arial" w:cs="Arial"/>
          <w:dstrike/>
          <w:szCs w:val="24"/>
          <w:u w:val="single"/>
        </w:rPr>
        <w:t xml:space="preserve"> Electric vehicle charging stations designed and constructed in compliance with the California Building Code, Chapter 11B, are not required to comply with Section 4.106.4.2.1.1 and Section 4.106.4.2.2, Item 3.</w:t>
      </w:r>
    </w:p>
    <w:p w14:paraId="68A1C7AD" w14:textId="77777777" w:rsidR="00021208" w:rsidRDefault="00BB4C15" w:rsidP="00BB4C15">
      <w:pPr>
        <w:autoSpaceDE w:val="0"/>
        <w:autoSpaceDN w:val="0"/>
        <w:adjustRightInd w:val="0"/>
        <w:spacing w:before="120" w:after="120"/>
        <w:ind w:left="720"/>
        <w:rPr>
          <w:rFonts w:ascii="Arial" w:hAnsi="Arial" w:cs="Arial"/>
          <w:szCs w:val="24"/>
        </w:rPr>
      </w:pPr>
      <w:r w:rsidRPr="009D295B">
        <w:rPr>
          <w:rFonts w:ascii="Arial" w:hAnsi="Arial" w:cs="Arial"/>
          <w:b/>
          <w:bCs/>
          <w:dstrike/>
          <w:szCs w:val="24"/>
          <w:u w:val="single"/>
        </w:rPr>
        <w:t>Note:</w:t>
      </w:r>
      <w:r w:rsidRPr="009D295B">
        <w:rPr>
          <w:rFonts w:ascii="Arial" w:hAnsi="Arial" w:cs="Arial"/>
          <w:dstrike/>
          <w:szCs w:val="24"/>
          <w:u w:val="single"/>
        </w:rPr>
        <w:t xml:space="preserve"> Electric vehicle charging stations serving public housing, hotels or motels are required to comply with the California Building Code, Chapter 11B.</w:t>
      </w:r>
      <w:r w:rsidR="00C81700" w:rsidRPr="00C81700">
        <w:rPr>
          <w:rFonts w:ascii="Arial" w:hAnsi="Arial" w:cs="Arial"/>
          <w:szCs w:val="24"/>
        </w:rPr>
        <w:t xml:space="preserve"> </w:t>
      </w:r>
      <w:bookmarkStart w:id="9" w:name="_Hlk84934648"/>
    </w:p>
    <w:p w14:paraId="4E41903A" w14:textId="605CF14C" w:rsidR="00BB4C15" w:rsidRPr="009D295B" w:rsidRDefault="00C81700" w:rsidP="00BB4C15">
      <w:pPr>
        <w:autoSpaceDE w:val="0"/>
        <w:autoSpaceDN w:val="0"/>
        <w:adjustRightInd w:val="0"/>
        <w:spacing w:before="120" w:after="120"/>
        <w:ind w:left="720"/>
        <w:rPr>
          <w:rFonts w:ascii="Arial" w:hAnsi="Arial" w:cs="Arial"/>
          <w:szCs w:val="24"/>
        </w:rPr>
      </w:pPr>
      <w:r w:rsidRPr="00597953">
        <w:rPr>
          <w:rFonts w:ascii="Arial" w:hAnsi="Arial" w:cs="Arial"/>
          <w:szCs w:val="24"/>
        </w:rPr>
        <w:t>(</w:t>
      </w:r>
      <w:proofErr w:type="gramStart"/>
      <w:r w:rsidRPr="00597953">
        <w:rPr>
          <w:rFonts w:ascii="Arial" w:hAnsi="Arial" w:cs="Arial"/>
          <w:szCs w:val="24"/>
        </w:rPr>
        <w:t>end</w:t>
      </w:r>
      <w:proofErr w:type="gramEnd"/>
      <w:r w:rsidRPr="00597953">
        <w:rPr>
          <w:rFonts w:ascii="Arial" w:hAnsi="Arial" w:cs="Arial"/>
          <w:szCs w:val="24"/>
        </w:rPr>
        <w:t xml:space="preserve"> double strikeout</w:t>
      </w:r>
      <w:r w:rsidRPr="00C81700">
        <w:rPr>
          <w:rFonts w:ascii="Arial" w:hAnsi="Arial" w:cs="Arial"/>
          <w:szCs w:val="24"/>
        </w:rPr>
        <w:t>)</w:t>
      </w:r>
      <w:bookmarkEnd w:id="9"/>
    </w:p>
    <w:p w14:paraId="2559867A" w14:textId="77D00F09" w:rsidR="00504E1B" w:rsidRPr="009D295B" w:rsidRDefault="00C81700" w:rsidP="00504E1B">
      <w:pPr>
        <w:autoSpaceDE w:val="0"/>
        <w:autoSpaceDN w:val="0"/>
        <w:adjustRightInd w:val="0"/>
        <w:spacing w:before="120" w:after="120"/>
        <w:ind w:left="720"/>
        <w:rPr>
          <w:rFonts w:ascii="Arial" w:hAnsi="Arial" w:cs="Arial"/>
          <w:szCs w:val="24"/>
          <w:u w:val="double"/>
        </w:rPr>
      </w:pPr>
      <w:r w:rsidRPr="000F78CA">
        <w:rPr>
          <w:rFonts w:ascii="Arial" w:hAnsi="Arial" w:cs="Arial"/>
          <w:szCs w:val="24"/>
        </w:rPr>
        <w:t xml:space="preserve">(begin double underline) </w:t>
      </w:r>
      <w:r w:rsidR="00504E1B" w:rsidRPr="009D295B">
        <w:rPr>
          <w:rFonts w:ascii="Arial" w:hAnsi="Arial" w:cs="Arial"/>
          <w:b/>
          <w:bCs/>
          <w:szCs w:val="24"/>
          <w:u w:val="double"/>
        </w:rPr>
        <w:t>Exception:</w:t>
      </w:r>
      <w:r w:rsidR="00504E1B" w:rsidRPr="009D295B">
        <w:rPr>
          <w:rFonts w:ascii="Arial" w:hAnsi="Arial" w:cs="Arial"/>
          <w:szCs w:val="24"/>
          <w:u w:val="double"/>
        </w:rPr>
        <w:t xml:space="preserve"> Electric vehicle charging stations serving public accommodations, public housing, motels, and hotels shall not be required to comply with this section. See California Building Code, Chapter</w:t>
      </w:r>
      <w:r w:rsidR="004A12C4" w:rsidRPr="009D295B">
        <w:rPr>
          <w:rFonts w:ascii="Arial" w:hAnsi="Arial" w:cs="Arial"/>
          <w:szCs w:val="24"/>
          <w:u w:val="double"/>
        </w:rPr>
        <w:t> </w:t>
      </w:r>
      <w:r w:rsidR="00504E1B" w:rsidRPr="009D295B">
        <w:rPr>
          <w:rFonts w:ascii="Arial" w:hAnsi="Arial" w:cs="Arial"/>
          <w:szCs w:val="24"/>
          <w:u w:val="double"/>
        </w:rPr>
        <w:t>11B for applicable requirements.</w:t>
      </w:r>
      <w:r w:rsidRPr="00C81700">
        <w:rPr>
          <w:rFonts w:ascii="Arial" w:hAnsi="Arial" w:cs="Arial"/>
          <w:szCs w:val="24"/>
        </w:rPr>
        <w:t xml:space="preserve"> </w:t>
      </w:r>
    </w:p>
    <w:p w14:paraId="7688AC91" w14:textId="564841A3" w:rsidR="00504E1B" w:rsidRPr="009D295B" w:rsidRDefault="00504E1B" w:rsidP="00504E1B">
      <w:pPr>
        <w:autoSpaceDE w:val="0"/>
        <w:autoSpaceDN w:val="0"/>
        <w:adjustRightInd w:val="0"/>
        <w:spacing w:before="120" w:after="120"/>
        <w:ind w:left="720"/>
        <w:rPr>
          <w:rFonts w:ascii="Arial" w:hAnsi="Arial" w:cs="Arial"/>
          <w:szCs w:val="24"/>
          <w:u w:val="single"/>
        </w:rPr>
      </w:pPr>
      <w:r w:rsidRPr="009D295B">
        <w:rPr>
          <w:rFonts w:ascii="Arial" w:hAnsi="Arial" w:cs="Arial"/>
          <w:b/>
          <w:bCs/>
          <w:szCs w:val="24"/>
          <w:u w:val="double"/>
        </w:rPr>
        <w:t>4.106.4.2.2.1.1</w:t>
      </w:r>
      <w:r w:rsidRPr="009D295B">
        <w:rPr>
          <w:rFonts w:ascii="Arial" w:hAnsi="Arial" w:cs="Arial"/>
          <w:szCs w:val="24"/>
          <w:u w:val="double"/>
        </w:rPr>
        <w:t xml:space="preserve"> </w:t>
      </w:r>
      <w:r w:rsidRPr="009D295B">
        <w:rPr>
          <w:rFonts w:ascii="Arial" w:hAnsi="Arial" w:cs="Arial"/>
          <w:b/>
          <w:bCs/>
          <w:szCs w:val="24"/>
          <w:u w:val="double"/>
        </w:rPr>
        <w:t xml:space="preserve">Location. </w:t>
      </w:r>
      <w:r w:rsidRPr="009D295B">
        <w:rPr>
          <w:rFonts w:ascii="Arial" w:hAnsi="Arial" w:cs="Arial"/>
          <w:szCs w:val="24"/>
          <w:u w:val="double"/>
        </w:rPr>
        <w:t>EVCS shall comply with at least one of the following options:</w:t>
      </w:r>
    </w:p>
    <w:p w14:paraId="542D2960" w14:textId="77777777" w:rsidR="007E7BA3" w:rsidRPr="009D295B" w:rsidRDefault="007E7BA3" w:rsidP="007E7BA3">
      <w:pPr>
        <w:pStyle w:val="ListParagraph"/>
        <w:numPr>
          <w:ilvl w:val="0"/>
          <w:numId w:val="11"/>
        </w:numPr>
        <w:autoSpaceDE w:val="0"/>
        <w:autoSpaceDN w:val="0"/>
        <w:adjustRightInd w:val="0"/>
        <w:spacing w:before="120" w:after="120"/>
        <w:contextualSpacing w:val="0"/>
        <w:rPr>
          <w:rFonts w:ascii="Arial" w:hAnsi="Arial" w:cs="Arial"/>
          <w:szCs w:val="24"/>
          <w:u w:val="double"/>
        </w:rPr>
      </w:pPr>
      <w:r w:rsidRPr="009D295B">
        <w:rPr>
          <w:rFonts w:ascii="Arial" w:hAnsi="Arial" w:cs="Arial"/>
          <w:szCs w:val="24"/>
          <w:u w:val="double"/>
        </w:rPr>
        <w:t>The charging space shall be located adjacent to an accessible parking space meeting the requirements of the California Building Code, Chapter 11A, to allow use of the EV charger from the accessible parking space.</w:t>
      </w:r>
    </w:p>
    <w:p w14:paraId="63993711" w14:textId="77777777" w:rsidR="007E7BA3" w:rsidRPr="009D295B" w:rsidRDefault="007E7BA3" w:rsidP="007E7BA3">
      <w:pPr>
        <w:pStyle w:val="ListParagraph"/>
        <w:numPr>
          <w:ilvl w:val="0"/>
          <w:numId w:val="11"/>
        </w:numPr>
        <w:autoSpaceDE w:val="0"/>
        <w:autoSpaceDN w:val="0"/>
        <w:adjustRightInd w:val="0"/>
        <w:spacing w:before="120" w:after="120"/>
        <w:contextualSpacing w:val="0"/>
        <w:rPr>
          <w:rFonts w:ascii="Arial" w:hAnsi="Arial" w:cs="Arial"/>
          <w:szCs w:val="24"/>
          <w:u w:val="double"/>
        </w:rPr>
      </w:pPr>
      <w:r w:rsidRPr="009D295B">
        <w:rPr>
          <w:rFonts w:ascii="Arial" w:hAnsi="Arial" w:cs="Arial"/>
          <w:szCs w:val="24"/>
          <w:u w:val="double"/>
        </w:rPr>
        <w:lastRenderedPageBreak/>
        <w:t>The charging space shall be located on an accessible route, as defined in the California Building Code, Chapter 2, to the building.</w:t>
      </w:r>
    </w:p>
    <w:p w14:paraId="07E281C3" w14:textId="1AE900CA" w:rsidR="007E7BA3" w:rsidRPr="00697BA6" w:rsidRDefault="007E7BA3" w:rsidP="007E7BA3">
      <w:pPr>
        <w:autoSpaceDE w:val="0"/>
        <w:autoSpaceDN w:val="0"/>
        <w:adjustRightInd w:val="0"/>
        <w:spacing w:before="120" w:after="120"/>
        <w:ind w:left="1800"/>
        <w:rPr>
          <w:rFonts w:ascii="Arial" w:hAnsi="Arial" w:cs="Arial"/>
          <w:szCs w:val="24"/>
          <w:u w:val="double"/>
        </w:rPr>
      </w:pPr>
      <w:r w:rsidRPr="009D295B">
        <w:rPr>
          <w:rFonts w:ascii="Arial" w:hAnsi="Arial" w:cs="Arial"/>
          <w:b/>
          <w:bCs/>
          <w:szCs w:val="24"/>
          <w:u w:val="double"/>
        </w:rPr>
        <w:t>Exception:</w:t>
      </w:r>
      <w:r w:rsidRPr="009D295B">
        <w:rPr>
          <w:rFonts w:ascii="Arial" w:hAnsi="Arial" w:cs="Arial"/>
          <w:szCs w:val="24"/>
          <w:u w:val="double"/>
        </w:rPr>
        <w:t xml:space="preserve"> Electric vehicle charging stations designed and constructed in compliance with the California Building Code, Chapter 11B, are not required to comply with Section 4.106.4.2.2.1.1 and Section 4.106.4.2.2.1.2, Item 3.</w:t>
      </w:r>
      <w:r w:rsidR="00C81700" w:rsidRPr="00C81700">
        <w:rPr>
          <w:rFonts w:ascii="Arial" w:hAnsi="Arial" w:cs="Arial"/>
          <w:szCs w:val="24"/>
        </w:rPr>
        <w:t xml:space="preserve"> </w:t>
      </w:r>
      <w:r w:rsidR="00C81700">
        <w:rPr>
          <w:rFonts w:ascii="Arial" w:hAnsi="Arial" w:cs="Arial"/>
          <w:szCs w:val="24"/>
        </w:rPr>
        <w:t xml:space="preserve">(end double underline) </w:t>
      </w:r>
      <w:r w:rsidR="00C81700" w:rsidRPr="00C241EC">
        <w:rPr>
          <w:rFonts w:ascii="Arial" w:hAnsi="Arial" w:cs="Arial"/>
          <w:szCs w:val="24"/>
          <w:u w:val="single"/>
        </w:rPr>
        <w:t xml:space="preserve"> </w:t>
      </w:r>
    </w:p>
    <w:p w14:paraId="13955C80" w14:textId="65257B1A" w:rsidR="00504E1B" w:rsidRPr="00C241EC" w:rsidRDefault="00C81700" w:rsidP="00504E1B">
      <w:pPr>
        <w:tabs>
          <w:tab w:val="left" w:pos="5130"/>
        </w:tabs>
        <w:autoSpaceDE w:val="0"/>
        <w:autoSpaceDN w:val="0"/>
        <w:adjustRightInd w:val="0"/>
        <w:spacing w:before="120" w:after="120"/>
        <w:ind w:left="360"/>
        <w:rPr>
          <w:rFonts w:ascii="Arial" w:hAnsi="Arial" w:cs="Arial"/>
          <w:b/>
          <w:bCs/>
          <w:szCs w:val="24"/>
          <w:u w:val="single"/>
        </w:rPr>
      </w:pPr>
      <w:r w:rsidRPr="00597953">
        <w:rPr>
          <w:rFonts w:ascii="Arial" w:hAnsi="Arial" w:cs="Arial"/>
          <w:szCs w:val="24"/>
          <w:bdr w:val="none" w:sz="0" w:space="0" w:color="auto" w:frame="1"/>
        </w:rPr>
        <w:t>(begin double strikeout)</w:t>
      </w:r>
      <w:r w:rsidR="00504E1B" w:rsidRPr="00C241EC">
        <w:rPr>
          <w:rFonts w:ascii="Arial" w:hAnsi="Arial" w:cs="Arial"/>
          <w:b/>
          <w:bCs/>
          <w:dstrike/>
          <w:szCs w:val="24"/>
          <w:u w:val="single"/>
        </w:rPr>
        <w:t>4.106.4.2.2.2</w:t>
      </w:r>
      <w:r w:rsidR="00504E1B" w:rsidRPr="00C241EC">
        <w:rPr>
          <w:rFonts w:ascii="Arial" w:hAnsi="Arial" w:cs="Arial"/>
          <w:b/>
          <w:bCs/>
          <w:szCs w:val="24"/>
          <w:u w:val="single"/>
        </w:rPr>
        <w:t xml:space="preserve"> </w:t>
      </w:r>
      <w:bookmarkStart w:id="10" w:name="_Hlk84934950"/>
      <w:r w:rsidRPr="00597953">
        <w:rPr>
          <w:rFonts w:ascii="Arial" w:hAnsi="Arial" w:cs="Arial"/>
          <w:szCs w:val="24"/>
        </w:rPr>
        <w:t>(end double strikeout</w:t>
      </w:r>
      <w:r w:rsidRPr="00C81700">
        <w:rPr>
          <w:rFonts w:ascii="Arial" w:hAnsi="Arial" w:cs="Arial"/>
          <w:szCs w:val="24"/>
        </w:rPr>
        <w:t xml:space="preserve">) </w:t>
      </w:r>
      <w:bookmarkEnd w:id="10"/>
      <w:r w:rsidRPr="000F78CA">
        <w:rPr>
          <w:rFonts w:ascii="Arial" w:hAnsi="Arial" w:cs="Arial"/>
          <w:szCs w:val="24"/>
        </w:rPr>
        <w:t xml:space="preserve">(begin double underline) </w:t>
      </w:r>
      <w:r w:rsidR="00504E1B" w:rsidRPr="00C241EC">
        <w:rPr>
          <w:rFonts w:ascii="Arial" w:hAnsi="Arial" w:cs="Arial"/>
          <w:b/>
          <w:bCs/>
          <w:szCs w:val="24"/>
          <w:u w:val="double"/>
        </w:rPr>
        <w:t>4.106.4.2.2.1.2</w:t>
      </w:r>
      <w:r w:rsidR="00504E1B" w:rsidRPr="00C241EC">
        <w:rPr>
          <w:rFonts w:ascii="Arial" w:hAnsi="Arial" w:cs="Arial"/>
          <w:b/>
          <w:bCs/>
          <w:szCs w:val="24"/>
          <w:u w:val="single"/>
        </w:rPr>
        <w:t xml:space="preserve"> </w:t>
      </w:r>
      <w:r>
        <w:rPr>
          <w:rFonts w:ascii="Arial" w:hAnsi="Arial" w:cs="Arial"/>
          <w:szCs w:val="24"/>
        </w:rPr>
        <w:t xml:space="preserve">(end double underline) </w:t>
      </w:r>
      <w:r w:rsidRPr="00C241EC">
        <w:rPr>
          <w:rFonts w:ascii="Arial" w:hAnsi="Arial" w:cs="Arial"/>
          <w:szCs w:val="24"/>
          <w:u w:val="single"/>
        </w:rPr>
        <w:t xml:space="preserve"> </w:t>
      </w:r>
      <w:r w:rsidR="00504E1B" w:rsidRPr="00C241EC">
        <w:rPr>
          <w:rFonts w:ascii="Arial" w:hAnsi="Arial" w:cs="Arial"/>
          <w:b/>
          <w:bCs/>
          <w:szCs w:val="24"/>
          <w:u w:val="single"/>
        </w:rPr>
        <w:t>Electric vehicle charging stations (EVCS) dimensions.</w:t>
      </w:r>
      <w:r w:rsidR="00504E1B" w:rsidRPr="00C241EC">
        <w:rPr>
          <w:rFonts w:ascii="Arial" w:hAnsi="Arial" w:cs="Arial"/>
          <w:szCs w:val="24"/>
          <w:u w:val="single"/>
        </w:rPr>
        <w:t xml:space="preserve"> </w:t>
      </w:r>
      <w:r w:rsidR="00504E1B" w:rsidRPr="00C241EC">
        <w:rPr>
          <w:rFonts w:ascii="Arial" w:hAnsi="Arial" w:cs="Arial"/>
          <w:szCs w:val="24"/>
        </w:rPr>
        <w:t xml:space="preserve">(No proposed text changes to this paragraph except for renumbering. No proposed changes to </w:t>
      </w:r>
      <w:r w:rsidR="006F6A67" w:rsidRPr="00C241EC">
        <w:rPr>
          <w:rFonts w:ascii="Arial" w:hAnsi="Arial" w:cs="Arial"/>
          <w:szCs w:val="24"/>
        </w:rPr>
        <w:t xml:space="preserve">45-day text for </w:t>
      </w:r>
      <w:r w:rsidR="00504E1B" w:rsidRPr="00C241EC">
        <w:rPr>
          <w:rFonts w:ascii="Arial" w:hAnsi="Arial" w:cs="Arial"/>
          <w:szCs w:val="24"/>
        </w:rPr>
        <w:t>Items 1 through 3</w:t>
      </w:r>
      <w:r w:rsidR="004A12C4" w:rsidRPr="00C241EC">
        <w:rPr>
          <w:rFonts w:ascii="Arial" w:hAnsi="Arial" w:cs="Arial"/>
          <w:szCs w:val="24"/>
        </w:rPr>
        <w:t>.)</w:t>
      </w:r>
    </w:p>
    <w:p w14:paraId="640A4A74" w14:textId="4B5A410B" w:rsidR="00504E1B" w:rsidRPr="00C241EC" w:rsidRDefault="00C81700" w:rsidP="00FA2131">
      <w:pPr>
        <w:spacing w:before="120" w:after="240"/>
        <w:ind w:left="720"/>
        <w:rPr>
          <w:rFonts w:ascii="Arial" w:hAnsi="Arial" w:cs="Arial"/>
          <w:szCs w:val="24"/>
          <w:shd w:val="clear" w:color="auto" w:fill="FFFFFF"/>
        </w:rPr>
      </w:pPr>
      <w:r w:rsidRPr="00597953">
        <w:rPr>
          <w:rFonts w:ascii="Arial" w:hAnsi="Arial" w:cs="Arial"/>
          <w:szCs w:val="24"/>
          <w:bdr w:val="none" w:sz="0" w:space="0" w:color="auto" w:frame="1"/>
        </w:rPr>
        <w:t>(begin double strikeout)</w:t>
      </w:r>
      <w:r w:rsidR="00504E1B" w:rsidRPr="00C241EC">
        <w:rPr>
          <w:rFonts w:ascii="Arial" w:hAnsi="Arial" w:cs="Arial"/>
          <w:b/>
          <w:bCs/>
          <w:dstrike/>
          <w:szCs w:val="24"/>
          <w:u w:val="single"/>
        </w:rPr>
        <w:t>4.106.4.2.2.3</w:t>
      </w:r>
      <w:r w:rsidR="00504E1B" w:rsidRPr="00C241EC">
        <w:rPr>
          <w:rFonts w:ascii="Arial" w:hAnsi="Arial" w:cs="Arial"/>
          <w:b/>
          <w:bCs/>
          <w:szCs w:val="24"/>
          <w:u w:val="single"/>
        </w:rPr>
        <w:t xml:space="preserve"> </w:t>
      </w:r>
      <w:bookmarkStart w:id="11" w:name="_Hlk84934788"/>
      <w:r w:rsidRPr="00597953">
        <w:rPr>
          <w:rFonts w:ascii="Arial" w:hAnsi="Arial" w:cs="Arial"/>
          <w:szCs w:val="24"/>
        </w:rPr>
        <w:t>(end double strikeout</w:t>
      </w:r>
      <w:r w:rsidRPr="00C81700">
        <w:rPr>
          <w:rFonts w:ascii="Arial" w:hAnsi="Arial" w:cs="Arial"/>
          <w:szCs w:val="24"/>
        </w:rPr>
        <w:t xml:space="preserve">) </w:t>
      </w:r>
      <w:bookmarkEnd w:id="11"/>
      <w:r w:rsidRPr="000F78CA">
        <w:rPr>
          <w:rFonts w:ascii="Arial" w:hAnsi="Arial" w:cs="Arial"/>
          <w:szCs w:val="24"/>
        </w:rPr>
        <w:t xml:space="preserve">(begin double underline) </w:t>
      </w:r>
      <w:r w:rsidR="00504E1B" w:rsidRPr="00505F5F">
        <w:rPr>
          <w:rFonts w:ascii="Arial" w:hAnsi="Arial" w:cs="Arial"/>
          <w:b/>
          <w:bCs/>
          <w:szCs w:val="24"/>
          <w:u w:val="double"/>
        </w:rPr>
        <w:t>4.106.4.2.2.1.3</w:t>
      </w:r>
      <w:r w:rsidR="00504E1B" w:rsidRPr="00C241EC">
        <w:rPr>
          <w:rFonts w:ascii="Arial" w:hAnsi="Arial" w:cs="Arial"/>
          <w:b/>
          <w:bCs/>
          <w:szCs w:val="24"/>
          <w:u w:val="single"/>
        </w:rPr>
        <w:t xml:space="preserve"> </w:t>
      </w:r>
      <w:r>
        <w:rPr>
          <w:rFonts w:ascii="Arial" w:hAnsi="Arial" w:cs="Arial"/>
          <w:szCs w:val="24"/>
        </w:rPr>
        <w:t xml:space="preserve">(end double underline) </w:t>
      </w:r>
      <w:r w:rsidRPr="00C241EC">
        <w:rPr>
          <w:rFonts w:ascii="Arial" w:hAnsi="Arial" w:cs="Arial"/>
          <w:szCs w:val="24"/>
          <w:u w:val="single"/>
        </w:rPr>
        <w:t xml:space="preserve"> </w:t>
      </w:r>
      <w:r w:rsidR="00504E1B" w:rsidRPr="00C241EC">
        <w:rPr>
          <w:rFonts w:ascii="Arial" w:hAnsi="Arial" w:cs="Arial"/>
          <w:b/>
          <w:bCs/>
          <w:szCs w:val="24"/>
          <w:u w:val="single"/>
        </w:rPr>
        <w:t>Accessible EV spaces.</w:t>
      </w:r>
      <w:r w:rsidR="00504E1B" w:rsidRPr="00C241EC">
        <w:rPr>
          <w:rFonts w:ascii="Arial" w:hAnsi="Arial" w:cs="Arial"/>
          <w:szCs w:val="24"/>
          <w:u w:val="single"/>
        </w:rPr>
        <w:t xml:space="preserve"> In addition to the requirements in Sections </w:t>
      </w:r>
      <w:r w:rsidR="004E6C95" w:rsidRPr="00597953">
        <w:rPr>
          <w:rFonts w:ascii="Arial" w:hAnsi="Arial" w:cs="Arial"/>
          <w:szCs w:val="24"/>
          <w:bdr w:val="none" w:sz="0" w:space="0" w:color="auto" w:frame="1"/>
        </w:rPr>
        <w:t>(begin double strikeout)</w:t>
      </w:r>
      <w:r w:rsidR="00504E1B" w:rsidRPr="00C241EC">
        <w:rPr>
          <w:rFonts w:ascii="Arial" w:hAnsi="Arial" w:cs="Arial"/>
          <w:dstrike/>
          <w:szCs w:val="24"/>
          <w:u w:val="single"/>
        </w:rPr>
        <w:t>4.106.4.2.2.1</w:t>
      </w:r>
      <w:r w:rsidR="00504E1B" w:rsidRPr="00C241EC">
        <w:rPr>
          <w:rFonts w:ascii="Arial" w:hAnsi="Arial" w:cs="Arial"/>
          <w:szCs w:val="24"/>
          <w:u w:val="single"/>
        </w:rPr>
        <w:t xml:space="preserve"> </w:t>
      </w:r>
      <w:r w:rsidR="00797217" w:rsidRPr="00597953">
        <w:rPr>
          <w:rFonts w:ascii="Arial" w:hAnsi="Arial" w:cs="Arial"/>
          <w:szCs w:val="24"/>
        </w:rPr>
        <w:t>(end double strikeout</w:t>
      </w:r>
      <w:r w:rsidR="00797217" w:rsidRPr="00C81700">
        <w:rPr>
          <w:rFonts w:ascii="Arial" w:hAnsi="Arial" w:cs="Arial"/>
          <w:szCs w:val="24"/>
        </w:rPr>
        <w:t xml:space="preserve">) </w:t>
      </w:r>
      <w:r w:rsidR="00797217" w:rsidRPr="000F78CA">
        <w:rPr>
          <w:rFonts w:ascii="Arial" w:hAnsi="Arial" w:cs="Arial"/>
          <w:szCs w:val="24"/>
        </w:rPr>
        <w:t>(begin double underline)</w:t>
      </w:r>
      <w:r w:rsidR="00504E1B" w:rsidRPr="00C241EC">
        <w:rPr>
          <w:rFonts w:ascii="Arial" w:hAnsi="Arial" w:cs="Arial"/>
          <w:szCs w:val="24"/>
          <w:u w:val="double"/>
        </w:rPr>
        <w:t>4.106.4.2.2.1.1</w:t>
      </w:r>
      <w:r w:rsidR="00797217">
        <w:rPr>
          <w:rFonts w:ascii="Arial" w:hAnsi="Arial" w:cs="Arial"/>
          <w:szCs w:val="24"/>
        </w:rPr>
        <w:t>(end double underline)</w:t>
      </w:r>
      <w:r w:rsidR="00504E1B" w:rsidRPr="00797217">
        <w:rPr>
          <w:rFonts w:ascii="Arial" w:hAnsi="Arial" w:cs="Arial"/>
          <w:szCs w:val="24"/>
        </w:rPr>
        <w:t xml:space="preserve"> </w:t>
      </w:r>
      <w:r w:rsidR="00504E1B" w:rsidRPr="00C241EC">
        <w:rPr>
          <w:rFonts w:ascii="Arial" w:hAnsi="Arial" w:cs="Arial"/>
          <w:szCs w:val="24"/>
          <w:u w:val="single"/>
        </w:rPr>
        <w:t xml:space="preserve">and </w:t>
      </w:r>
      <w:r w:rsidR="004E6C95" w:rsidRPr="00597953">
        <w:rPr>
          <w:rFonts w:ascii="Arial" w:hAnsi="Arial" w:cs="Arial"/>
          <w:szCs w:val="24"/>
          <w:bdr w:val="none" w:sz="0" w:space="0" w:color="auto" w:frame="1"/>
        </w:rPr>
        <w:t>(begin double strikeout)</w:t>
      </w:r>
      <w:r w:rsidR="00504E1B" w:rsidRPr="00C241EC">
        <w:rPr>
          <w:rFonts w:ascii="Arial" w:hAnsi="Arial" w:cs="Arial"/>
          <w:dstrike/>
          <w:szCs w:val="24"/>
          <w:u w:val="single"/>
        </w:rPr>
        <w:t>4.106.4.2.2.2</w:t>
      </w:r>
      <w:r w:rsidR="00504E1B" w:rsidRPr="00C241EC">
        <w:rPr>
          <w:rFonts w:ascii="Arial" w:hAnsi="Arial" w:cs="Arial"/>
          <w:szCs w:val="24"/>
          <w:u w:val="single"/>
        </w:rPr>
        <w:t xml:space="preserve"> </w:t>
      </w:r>
      <w:r w:rsidR="004E6C95" w:rsidRPr="00597953">
        <w:rPr>
          <w:rFonts w:ascii="Arial" w:hAnsi="Arial" w:cs="Arial"/>
          <w:szCs w:val="24"/>
        </w:rPr>
        <w:t>(end double strikeout</w:t>
      </w:r>
      <w:r w:rsidR="004E6C95" w:rsidRPr="00C81700">
        <w:rPr>
          <w:rFonts w:ascii="Arial" w:hAnsi="Arial" w:cs="Arial"/>
          <w:szCs w:val="24"/>
        </w:rPr>
        <w:t xml:space="preserve">) </w:t>
      </w:r>
      <w:bookmarkStart w:id="12" w:name="_Hlk84935314"/>
      <w:r w:rsidR="004B2B87" w:rsidRPr="000F78CA">
        <w:rPr>
          <w:rFonts w:ascii="Arial" w:hAnsi="Arial" w:cs="Arial"/>
          <w:szCs w:val="24"/>
        </w:rPr>
        <w:t>(begin double underline)</w:t>
      </w:r>
      <w:bookmarkEnd w:id="12"/>
      <w:r w:rsidR="00504E1B" w:rsidRPr="00C241EC">
        <w:rPr>
          <w:rFonts w:ascii="Arial" w:hAnsi="Arial" w:cs="Arial"/>
          <w:szCs w:val="24"/>
          <w:u w:val="double"/>
        </w:rPr>
        <w:t>4.106.4.2.2.1.2</w:t>
      </w:r>
      <w:r w:rsidR="00504E1B" w:rsidRPr="00C241EC">
        <w:rPr>
          <w:rFonts w:ascii="Arial" w:hAnsi="Arial" w:cs="Arial"/>
          <w:szCs w:val="24"/>
          <w:u w:val="single"/>
        </w:rPr>
        <w:t xml:space="preserve">, </w:t>
      </w:r>
      <w:r w:rsidR="004B2B87">
        <w:rPr>
          <w:rFonts w:ascii="Arial" w:hAnsi="Arial" w:cs="Arial"/>
          <w:szCs w:val="24"/>
        </w:rPr>
        <w:t xml:space="preserve">(end double underline) </w:t>
      </w:r>
      <w:r w:rsidR="004E6C95" w:rsidRPr="00597953">
        <w:rPr>
          <w:rFonts w:ascii="Arial" w:hAnsi="Arial" w:cs="Arial"/>
          <w:szCs w:val="24"/>
          <w:bdr w:val="none" w:sz="0" w:space="0" w:color="auto" w:frame="1"/>
        </w:rPr>
        <w:t>(begin double strikeout)</w:t>
      </w:r>
      <w:r w:rsidR="00504E1B" w:rsidRPr="00C241EC">
        <w:rPr>
          <w:rFonts w:ascii="Arial" w:hAnsi="Arial" w:cs="Arial"/>
          <w:dstrike/>
          <w:szCs w:val="24"/>
          <w:u w:val="single"/>
        </w:rPr>
        <w:t>EV spaces for hotels/motels and</w:t>
      </w:r>
      <w:r w:rsidR="00504E1B" w:rsidRPr="00C241EC">
        <w:rPr>
          <w:rFonts w:ascii="Arial" w:hAnsi="Arial" w:cs="Arial"/>
          <w:szCs w:val="24"/>
          <w:u w:val="single"/>
        </w:rPr>
        <w:t xml:space="preserve"> </w:t>
      </w:r>
      <w:r w:rsidR="004E6C95" w:rsidRPr="00597953">
        <w:rPr>
          <w:rFonts w:ascii="Arial" w:hAnsi="Arial" w:cs="Arial"/>
          <w:szCs w:val="24"/>
        </w:rPr>
        <w:t>(end double strikeout</w:t>
      </w:r>
      <w:r w:rsidR="004E6C95" w:rsidRPr="00C81700">
        <w:rPr>
          <w:rFonts w:ascii="Arial" w:hAnsi="Arial" w:cs="Arial"/>
          <w:szCs w:val="24"/>
        </w:rPr>
        <w:t xml:space="preserve">) </w:t>
      </w:r>
      <w:r w:rsidR="00504E1B" w:rsidRPr="00C241EC">
        <w:rPr>
          <w:rFonts w:ascii="Arial" w:hAnsi="Arial" w:cs="Arial"/>
          <w:szCs w:val="24"/>
          <w:u w:val="single"/>
        </w:rPr>
        <w:t xml:space="preserve">all EVSE, when installed, shall comply with the accessibility provisions for EV </w:t>
      </w:r>
      <w:r w:rsidR="004E6C95" w:rsidRPr="00597953">
        <w:rPr>
          <w:rFonts w:ascii="Arial" w:hAnsi="Arial" w:cs="Arial"/>
          <w:szCs w:val="24"/>
          <w:bdr w:val="none" w:sz="0" w:space="0" w:color="auto" w:frame="1"/>
        </w:rPr>
        <w:t>(begin double strikeout)</w:t>
      </w:r>
      <w:r w:rsidR="00504E1B" w:rsidRPr="00C241EC">
        <w:rPr>
          <w:rFonts w:ascii="Arial" w:hAnsi="Arial" w:cs="Arial"/>
          <w:dstrike/>
          <w:szCs w:val="24"/>
          <w:u w:val="single"/>
        </w:rPr>
        <w:t>charging stations</w:t>
      </w:r>
      <w:r w:rsidR="00504E1B" w:rsidRPr="00C241EC">
        <w:rPr>
          <w:rFonts w:ascii="Arial" w:hAnsi="Arial" w:cs="Arial"/>
          <w:szCs w:val="24"/>
          <w:u w:val="single"/>
        </w:rPr>
        <w:t xml:space="preserve"> </w:t>
      </w:r>
      <w:r w:rsidR="004E6C95" w:rsidRPr="00597953">
        <w:rPr>
          <w:rFonts w:ascii="Arial" w:hAnsi="Arial" w:cs="Arial"/>
          <w:szCs w:val="24"/>
        </w:rPr>
        <w:t>(end double strikeout</w:t>
      </w:r>
      <w:r w:rsidR="004E6C95" w:rsidRPr="00C81700">
        <w:rPr>
          <w:rFonts w:ascii="Arial" w:hAnsi="Arial" w:cs="Arial"/>
          <w:szCs w:val="24"/>
        </w:rPr>
        <w:t xml:space="preserve">) </w:t>
      </w:r>
      <w:r w:rsidR="004B2B87" w:rsidRPr="000F78CA">
        <w:rPr>
          <w:rFonts w:ascii="Arial" w:hAnsi="Arial" w:cs="Arial"/>
          <w:szCs w:val="24"/>
        </w:rPr>
        <w:t>(begin double underline)</w:t>
      </w:r>
      <w:r w:rsidR="00504E1B" w:rsidRPr="00C241EC">
        <w:rPr>
          <w:rFonts w:ascii="Arial" w:hAnsi="Arial" w:cs="Arial"/>
          <w:szCs w:val="24"/>
          <w:u w:val="double"/>
        </w:rPr>
        <w:t>chargers</w:t>
      </w:r>
      <w:r w:rsidR="00504E1B" w:rsidRPr="00C241EC">
        <w:rPr>
          <w:rFonts w:ascii="Arial" w:hAnsi="Arial" w:cs="Arial"/>
          <w:szCs w:val="24"/>
          <w:u w:val="single"/>
        </w:rPr>
        <w:t xml:space="preserve"> </w:t>
      </w:r>
      <w:r w:rsidR="004B2B87">
        <w:rPr>
          <w:rFonts w:ascii="Arial" w:hAnsi="Arial" w:cs="Arial"/>
          <w:szCs w:val="24"/>
        </w:rPr>
        <w:t xml:space="preserve">(end double underline) </w:t>
      </w:r>
      <w:r w:rsidR="004B2B87" w:rsidRPr="00C241EC">
        <w:rPr>
          <w:rFonts w:ascii="Arial" w:hAnsi="Arial" w:cs="Arial"/>
          <w:szCs w:val="24"/>
          <w:u w:val="single"/>
        </w:rPr>
        <w:t xml:space="preserve"> </w:t>
      </w:r>
      <w:r w:rsidR="00504E1B" w:rsidRPr="00C241EC">
        <w:rPr>
          <w:rFonts w:ascii="Arial" w:hAnsi="Arial" w:cs="Arial"/>
          <w:szCs w:val="24"/>
          <w:u w:val="single"/>
        </w:rPr>
        <w:t>in the California Building Code, Chapter</w:t>
      </w:r>
      <w:r w:rsidR="00E10F17" w:rsidRPr="00C241EC">
        <w:rPr>
          <w:rFonts w:ascii="Arial" w:hAnsi="Arial" w:cs="Arial"/>
          <w:szCs w:val="24"/>
          <w:u w:val="single"/>
        </w:rPr>
        <w:t> </w:t>
      </w:r>
      <w:r w:rsidR="00504E1B" w:rsidRPr="00C241EC">
        <w:rPr>
          <w:rFonts w:ascii="Arial" w:hAnsi="Arial" w:cs="Arial"/>
          <w:szCs w:val="24"/>
          <w:u w:val="single"/>
        </w:rPr>
        <w:t>11B. EV ready spaces and EVCS in multifamily developments shall comply with California Building Code, Chapter 11A, Section 1109A.</w:t>
      </w:r>
    </w:p>
    <w:p w14:paraId="4E15E74D" w14:textId="244D50F4" w:rsidR="00504E1B" w:rsidRPr="00C241EC" w:rsidRDefault="00504E1B" w:rsidP="00D0669F">
      <w:pPr>
        <w:spacing w:before="120" w:after="120"/>
        <w:rPr>
          <w:rFonts w:ascii="Arial" w:hAnsi="Arial" w:cs="Arial"/>
          <w:szCs w:val="24"/>
        </w:rPr>
      </w:pPr>
      <w:r w:rsidRPr="00C241EC">
        <w:rPr>
          <w:rFonts w:ascii="Arial" w:hAnsi="Arial" w:cs="Arial"/>
          <w:b/>
          <w:bCs/>
          <w:szCs w:val="24"/>
        </w:rPr>
        <w:t xml:space="preserve">Rationale for section 4.106.4.2.2.1: </w:t>
      </w:r>
      <w:r w:rsidRPr="00C241EC">
        <w:rPr>
          <w:rFonts w:ascii="Arial" w:hAnsi="Arial" w:cs="Arial"/>
          <w:szCs w:val="24"/>
        </w:rPr>
        <w:t xml:space="preserve">In the regulatory requirements adopted in the 2019 </w:t>
      </w:r>
      <w:r w:rsidR="00F57CDF" w:rsidRPr="00C241EC">
        <w:rPr>
          <w:rFonts w:ascii="Arial" w:hAnsi="Arial" w:cs="Arial"/>
          <w:szCs w:val="24"/>
        </w:rPr>
        <w:t>CAL Green</w:t>
      </w:r>
      <w:r w:rsidRPr="00C241EC">
        <w:rPr>
          <w:rFonts w:ascii="Arial" w:hAnsi="Arial" w:cs="Arial"/>
          <w:szCs w:val="24"/>
        </w:rPr>
        <w:t xml:space="preserve"> Code for new multifamily dwellings, HCD provided an exception to specific EVCS requirements that conflict with the accessibility provisions of CBC Chapter</w:t>
      </w:r>
      <w:r w:rsidR="00E10F17" w:rsidRPr="00C241EC">
        <w:rPr>
          <w:rFonts w:ascii="Arial" w:hAnsi="Arial" w:cs="Arial"/>
          <w:szCs w:val="24"/>
        </w:rPr>
        <w:t> </w:t>
      </w:r>
      <w:r w:rsidRPr="00C241EC">
        <w:rPr>
          <w:rFonts w:ascii="Arial" w:hAnsi="Arial" w:cs="Arial"/>
          <w:szCs w:val="24"/>
        </w:rPr>
        <w:t>11B for public housing, hotels, and motels. In this 15-day Express Terms document, new provisions are introduced that require EVSE to be installed. DSA has expressed concerns that these new provisions altered the code structure of the requirements, so that the exceptions for CBC Chapter</w:t>
      </w:r>
      <w:r w:rsidR="00E10F17" w:rsidRPr="00C241EC">
        <w:rPr>
          <w:rFonts w:ascii="Arial" w:hAnsi="Arial" w:cs="Arial"/>
          <w:szCs w:val="24"/>
        </w:rPr>
        <w:t> </w:t>
      </w:r>
      <w:r w:rsidRPr="00C241EC">
        <w:rPr>
          <w:rFonts w:ascii="Arial" w:hAnsi="Arial" w:cs="Arial"/>
          <w:szCs w:val="24"/>
        </w:rPr>
        <w:t xml:space="preserve">11B-regulated facilities were not maintained consistent with the requirements already adopted in the 2019 </w:t>
      </w:r>
      <w:r w:rsidR="00F57CDF" w:rsidRPr="00C241EC">
        <w:rPr>
          <w:rFonts w:ascii="Arial" w:hAnsi="Arial" w:cs="Arial"/>
          <w:szCs w:val="24"/>
        </w:rPr>
        <w:t>Algren</w:t>
      </w:r>
      <w:r w:rsidRPr="00C241EC">
        <w:rPr>
          <w:rFonts w:ascii="Arial" w:hAnsi="Arial" w:cs="Arial"/>
          <w:szCs w:val="24"/>
        </w:rPr>
        <w:t>.</w:t>
      </w:r>
      <w:r w:rsidR="00964204">
        <w:rPr>
          <w:rFonts w:ascii="Arial" w:hAnsi="Arial" w:cs="Arial"/>
          <w:szCs w:val="24"/>
        </w:rPr>
        <w:t xml:space="preserve"> </w:t>
      </w:r>
      <w:r w:rsidR="00A53965" w:rsidRPr="009D295B">
        <w:rPr>
          <w:rFonts w:ascii="Arial" w:hAnsi="Arial" w:cs="Arial"/>
          <w:szCs w:val="24"/>
        </w:rPr>
        <w:t>Portions of</w:t>
      </w:r>
      <w:r w:rsidR="001B0E66" w:rsidRPr="009D295B">
        <w:rPr>
          <w:rFonts w:ascii="Arial" w:hAnsi="Arial" w:cs="Arial"/>
          <w:szCs w:val="24"/>
        </w:rPr>
        <w:t xml:space="preserve"> section</w:t>
      </w:r>
      <w:r w:rsidR="00A53965" w:rsidRPr="009D295B">
        <w:rPr>
          <w:rFonts w:ascii="Arial" w:hAnsi="Arial" w:cs="Arial"/>
          <w:szCs w:val="24"/>
        </w:rPr>
        <w:t xml:space="preserve"> </w:t>
      </w:r>
      <w:r w:rsidR="006E1BBD" w:rsidRPr="009D295B">
        <w:rPr>
          <w:rFonts w:ascii="Arial" w:hAnsi="Arial" w:cs="Arial"/>
          <w:szCs w:val="24"/>
        </w:rPr>
        <w:t>4.106.4.2.2.1 ha</w:t>
      </w:r>
      <w:r w:rsidR="00A53965" w:rsidRPr="009D295B">
        <w:rPr>
          <w:rFonts w:ascii="Arial" w:hAnsi="Arial" w:cs="Arial"/>
          <w:szCs w:val="24"/>
        </w:rPr>
        <w:t>ve</w:t>
      </w:r>
      <w:r w:rsidR="006E1BBD" w:rsidRPr="009D295B">
        <w:rPr>
          <w:rFonts w:ascii="Arial" w:hAnsi="Arial" w:cs="Arial"/>
          <w:szCs w:val="24"/>
        </w:rPr>
        <w:t xml:space="preserve"> been revised </w:t>
      </w:r>
      <w:r w:rsidR="001B0E66" w:rsidRPr="009D295B">
        <w:rPr>
          <w:rFonts w:ascii="Arial" w:hAnsi="Arial" w:cs="Arial"/>
          <w:szCs w:val="24"/>
        </w:rPr>
        <w:t xml:space="preserve">(introductory sentence) </w:t>
      </w:r>
      <w:r w:rsidR="006E1BBD" w:rsidRPr="009D295B">
        <w:rPr>
          <w:rFonts w:ascii="Arial" w:hAnsi="Arial" w:cs="Arial"/>
          <w:szCs w:val="24"/>
        </w:rPr>
        <w:t>and relocated to section 4.1</w:t>
      </w:r>
      <w:r w:rsidR="00732D12" w:rsidRPr="009D295B">
        <w:rPr>
          <w:rFonts w:ascii="Arial" w:hAnsi="Arial" w:cs="Arial"/>
          <w:szCs w:val="24"/>
        </w:rPr>
        <w:t>06.4.2.2.1.1.</w:t>
      </w:r>
    </w:p>
    <w:p w14:paraId="66DBC332" w14:textId="2388F3A9" w:rsidR="00504E1B" w:rsidRPr="00C241EC" w:rsidRDefault="00504E1B" w:rsidP="00D0669F">
      <w:pPr>
        <w:spacing w:before="120" w:after="120"/>
        <w:rPr>
          <w:rFonts w:ascii="Arial" w:hAnsi="Arial" w:cs="Arial"/>
          <w:szCs w:val="24"/>
        </w:rPr>
      </w:pPr>
      <w:r w:rsidRPr="00C241EC">
        <w:rPr>
          <w:rFonts w:ascii="Arial" w:hAnsi="Arial" w:cs="Arial"/>
          <w:szCs w:val="24"/>
        </w:rPr>
        <w:t>According to DSA, to maintain consistency with requirements already in regulation, electric vehicle charging stations (EVCS) serving public housing, motels, and hotels must be excepted from the requirements for location, dimensions, and accessible EV spaces; and reference must be made to comply with the accessibility requirements for EVCSs stipulated</w:t>
      </w:r>
      <w:r w:rsidRPr="00C241EC">
        <w:rPr>
          <w:rFonts w:ascii="Arial" w:hAnsi="Arial" w:cs="Arial"/>
          <w:b/>
          <w:bCs/>
          <w:szCs w:val="24"/>
        </w:rPr>
        <w:t xml:space="preserve"> </w:t>
      </w:r>
      <w:r w:rsidRPr="00C241EC">
        <w:rPr>
          <w:rFonts w:ascii="Arial" w:hAnsi="Arial" w:cs="Arial"/>
          <w:szCs w:val="24"/>
        </w:rPr>
        <w:t>in CBC Chapter</w:t>
      </w:r>
      <w:r w:rsidR="004A12C4" w:rsidRPr="00C241EC">
        <w:rPr>
          <w:rFonts w:ascii="Arial" w:hAnsi="Arial" w:cs="Arial"/>
          <w:szCs w:val="24"/>
        </w:rPr>
        <w:t> </w:t>
      </w:r>
      <w:r w:rsidRPr="00C241EC">
        <w:rPr>
          <w:rFonts w:ascii="Arial" w:hAnsi="Arial" w:cs="Arial"/>
          <w:szCs w:val="24"/>
        </w:rPr>
        <w:t>11B for these facilities.</w:t>
      </w:r>
    </w:p>
    <w:p w14:paraId="78DB1ECD" w14:textId="6187B14A" w:rsidR="00504E1B" w:rsidRPr="00C241EC" w:rsidRDefault="00504E1B" w:rsidP="00D0669F">
      <w:pPr>
        <w:spacing w:before="120" w:after="120"/>
        <w:rPr>
          <w:rFonts w:ascii="Arial" w:hAnsi="Arial" w:cs="Arial"/>
          <w:szCs w:val="24"/>
        </w:rPr>
      </w:pPr>
      <w:r w:rsidRPr="00C241EC">
        <w:rPr>
          <w:rFonts w:ascii="Arial" w:hAnsi="Arial" w:cs="Arial"/>
          <w:szCs w:val="24"/>
        </w:rPr>
        <w:t xml:space="preserve">While originally proposed </w:t>
      </w:r>
      <w:r w:rsidR="004A12C4" w:rsidRPr="00C241EC">
        <w:rPr>
          <w:rFonts w:ascii="Arial" w:hAnsi="Arial" w:cs="Arial"/>
          <w:szCs w:val="24"/>
        </w:rPr>
        <w:t xml:space="preserve">45-day </w:t>
      </w:r>
      <w:r w:rsidRPr="00C241EC">
        <w:rPr>
          <w:rFonts w:ascii="Arial" w:hAnsi="Arial" w:cs="Arial"/>
          <w:szCs w:val="24"/>
        </w:rPr>
        <w:t>text accomplishes this reference by way of a “note”</w:t>
      </w:r>
      <w:r w:rsidR="001146E3" w:rsidRPr="00C241EC">
        <w:rPr>
          <w:rFonts w:ascii="Arial" w:hAnsi="Arial" w:cs="Arial"/>
          <w:szCs w:val="24"/>
        </w:rPr>
        <w:t>;</w:t>
      </w:r>
      <w:r w:rsidRPr="00C241EC">
        <w:rPr>
          <w:rFonts w:ascii="Arial" w:hAnsi="Arial" w:cs="Arial"/>
          <w:szCs w:val="24"/>
        </w:rPr>
        <w:t xml:space="preserve"> to create an enforceable action, DSA requested that the “note” be changed to an “exception”</w:t>
      </w:r>
      <w:r w:rsidR="001146E3" w:rsidRPr="00C241EC">
        <w:rPr>
          <w:rFonts w:ascii="Arial" w:hAnsi="Arial" w:cs="Arial"/>
          <w:szCs w:val="24"/>
        </w:rPr>
        <w:t>.</w:t>
      </w:r>
      <w:r w:rsidRPr="00C241EC">
        <w:rPr>
          <w:rFonts w:ascii="Arial" w:hAnsi="Arial" w:cs="Arial"/>
          <w:szCs w:val="24"/>
        </w:rPr>
        <w:t xml:space="preserve"> To address DSA’s concern, HCD is proposing to identify the accessibility provisions for specified </w:t>
      </w:r>
      <w:r w:rsidR="004A12C4" w:rsidRPr="00C241EC">
        <w:rPr>
          <w:rFonts w:ascii="Arial" w:hAnsi="Arial" w:cs="Arial"/>
          <w:szCs w:val="24"/>
        </w:rPr>
        <w:t>Chapter </w:t>
      </w:r>
      <w:r w:rsidRPr="00C241EC">
        <w:rPr>
          <w:rFonts w:ascii="Arial" w:hAnsi="Arial" w:cs="Arial"/>
          <w:szCs w:val="24"/>
        </w:rPr>
        <w:t>11B applications as an exception.</w:t>
      </w:r>
    </w:p>
    <w:p w14:paraId="03F9140B" w14:textId="57F85776" w:rsidR="00504E1B" w:rsidRPr="00C241EC" w:rsidRDefault="00504E1B" w:rsidP="00D0669F">
      <w:pPr>
        <w:spacing w:before="120" w:after="120"/>
        <w:rPr>
          <w:rFonts w:ascii="Arial" w:hAnsi="Arial" w:cs="Arial"/>
          <w:szCs w:val="24"/>
        </w:rPr>
      </w:pPr>
      <w:r w:rsidRPr="00C241EC">
        <w:rPr>
          <w:rFonts w:ascii="Arial" w:hAnsi="Arial" w:cs="Arial"/>
          <w:b/>
          <w:bCs/>
          <w:szCs w:val="24"/>
        </w:rPr>
        <w:t>Rationale for sections 4.106.4.2.2.1.1, 4.106.4.2.2.1.2 and 4.106.4.2.2.1.3:</w:t>
      </w:r>
      <w:r w:rsidRPr="00C241EC">
        <w:rPr>
          <w:rFonts w:ascii="Arial" w:hAnsi="Arial" w:cs="Arial"/>
          <w:szCs w:val="24"/>
        </w:rPr>
        <w:t xml:space="preserve"> Relocating </w:t>
      </w:r>
      <w:r w:rsidRPr="00C241EC">
        <w:rPr>
          <w:rFonts w:ascii="Arial" w:hAnsi="Arial" w:cs="Arial"/>
          <w:szCs w:val="24"/>
        </w:rPr>
        <w:lastRenderedPageBreak/>
        <w:t>the proposed exception in advance of the requirements for location, dimensions, and accessible EV spaces, necessitates edits to the hierarchical code numbering structure, which requires the introduction of subsections 4.106.4.2.2.1.1 (new subsection number and title), 4.106.4.2.2.1.2 (renumbering only) and 4.106.4.2.2.1.3 (renumbering, updating references to section numbers). These changes to section 4.106.4.2.2.1 provide clarity as to the specific requirements that are excepted for CBC Chapter</w:t>
      </w:r>
      <w:r w:rsidR="00E10F17" w:rsidRPr="00C241EC">
        <w:rPr>
          <w:rFonts w:ascii="Arial" w:hAnsi="Arial" w:cs="Arial"/>
          <w:szCs w:val="24"/>
        </w:rPr>
        <w:t> </w:t>
      </w:r>
      <w:r w:rsidRPr="00C241EC">
        <w:rPr>
          <w:rFonts w:ascii="Arial" w:hAnsi="Arial" w:cs="Arial"/>
          <w:szCs w:val="24"/>
        </w:rPr>
        <w:t>11B-regulated facilities addressing DSA’s concerns.</w:t>
      </w:r>
    </w:p>
    <w:p w14:paraId="014A00D4" w14:textId="50DD45F8" w:rsidR="00504E1B" w:rsidRPr="00C241EC" w:rsidRDefault="00504E1B" w:rsidP="00D0669F">
      <w:pPr>
        <w:spacing w:before="120" w:after="120"/>
        <w:rPr>
          <w:rFonts w:ascii="Arial" w:hAnsi="Arial" w:cs="Arial"/>
          <w:szCs w:val="24"/>
        </w:rPr>
      </w:pPr>
      <w:r w:rsidRPr="00C241EC">
        <w:rPr>
          <w:rFonts w:ascii="Arial" w:hAnsi="Arial" w:cs="Arial"/>
          <w:szCs w:val="24"/>
        </w:rPr>
        <w:t>Additional proposed changes to section 4.106.4.2.2.1.3 addressing accessible EV spaces remove references to hotels/motels as already covered by the afore mentioned exception and reflects new hierarchical code section numbering. Additionally, the proposed changes in this section also provide direction that “chargers” at EVCS</w:t>
      </w:r>
      <w:r w:rsidR="004A12C4" w:rsidRPr="00C241EC">
        <w:rPr>
          <w:rFonts w:ascii="Arial" w:hAnsi="Arial" w:cs="Arial"/>
          <w:szCs w:val="24"/>
        </w:rPr>
        <w:t>s</w:t>
      </w:r>
      <w:r w:rsidRPr="00C241EC">
        <w:rPr>
          <w:rFonts w:ascii="Arial" w:hAnsi="Arial" w:cs="Arial"/>
          <w:szCs w:val="24"/>
        </w:rPr>
        <w:t xml:space="preserve"> in Chapter</w:t>
      </w:r>
      <w:r w:rsidR="00E10F17" w:rsidRPr="00C241EC">
        <w:rPr>
          <w:rFonts w:ascii="Arial" w:hAnsi="Arial" w:cs="Arial"/>
          <w:szCs w:val="24"/>
        </w:rPr>
        <w:t> </w:t>
      </w:r>
      <w:r w:rsidRPr="00C241EC">
        <w:rPr>
          <w:rFonts w:ascii="Arial" w:hAnsi="Arial" w:cs="Arial"/>
          <w:szCs w:val="24"/>
        </w:rPr>
        <w:t>11A-regulated multifamily housing facilities must comply with CBC Chapter</w:t>
      </w:r>
      <w:r w:rsidR="00E10F17" w:rsidRPr="00C241EC">
        <w:rPr>
          <w:rFonts w:ascii="Arial" w:hAnsi="Arial" w:cs="Arial"/>
          <w:szCs w:val="24"/>
        </w:rPr>
        <w:t> </w:t>
      </w:r>
      <w:r w:rsidRPr="00C241EC">
        <w:rPr>
          <w:rFonts w:ascii="Arial" w:hAnsi="Arial" w:cs="Arial"/>
          <w:szCs w:val="24"/>
        </w:rPr>
        <w:t>11B requirements to eliminate confusion as to the specific element that is required to comply.</w:t>
      </w:r>
    </w:p>
    <w:p w14:paraId="3893328F" w14:textId="3D2F29DC" w:rsidR="00504E1B" w:rsidRPr="00C241EC" w:rsidRDefault="00504E1B" w:rsidP="00D0669F">
      <w:pPr>
        <w:spacing w:before="120" w:after="120"/>
        <w:rPr>
          <w:rFonts w:ascii="Arial" w:hAnsi="Arial" w:cs="Arial"/>
          <w:szCs w:val="24"/>
        </w:rPr>
      </w:pPr>
      <w:r w:rsidRPr="00C241EC">
        <w:rPr>
          <w:rFonts w:ascii="Arial" w:hAnsi="Arial" w:cs="Arial"/>
          <w:szCs w:val="24"/>
        </w:rPr>
        <w:t>HCD also adds clarifying rationale for accessibility of EV ready spaces and EVCS in multifamily developments. CBC Chapter 11A, unlike Chapter 11B, does not provide specific sections addressing facilities for EV charging. The number of EV ready spaces and EV charging stations required to be accessible for multifamily developments shall be in accordance with Chapter</w:t>
      </w:r>
      <w:r w:rsidR="00E10F17" w:rsidRPr="00C241EC">
        <w:rPr>
          <w:rFonts w:ascii="Arial" w:hAnsi="Arial" w:cs="Arial"/>
          <w:szCs w:val="24"/>
        </w:rPr>
        <w:t> </w:t>
      </w:r>
      <w:r w:rsidRPr="00C241EC">
        <w:rPr>
          <w:rFonts w:ascii="Arial" w:hAnsi="Arial" w:cs="Arial"/>
          <w:szCs w:val="24"/>
        </w:rPr>
        <w:t>11A, Sections</w:t>
      </w:r>
      <w:r w:rsidR="00E10F17" w:rsidRPr="00C241EC">
        <w:rPr>
          <w:rFonts w:ascii="Arial" w:hAnsi="Arial" w:cs="Arial"/>
          <w:szCs w:val="24"/>
        </w:rPr>
        <w:t> </w:t>
      </w:r>
      <w:r w:rsidRPr="00C241EC">
        <w:rPr>
          <w:rFonts w:ascii="Arial" w:hAnsi="Arial" w:cs="Arial"/>
          <w:szCs w:val="24"/>
        </w:rPr>
        <w:t>1109A.3, 1109A.4 and 1109A.5.</w:t>
      </w:r>
    </w:p>
    <w:p w14:paraId="73C60704" w14:textId="7FF06695" w:rsidR="00504E1B" w:rsidRPr="00C241EC" w:rsidRDefault="00A5608E" w:rsidP="00504E1B">
      <w:pPr>
        <w:pStyle w:val="ListParagraph"/>
        <w:autoSpaceDE w:val="0"/>
        <w:autoSpaceDN w:val="0"/>
        <w:adjustRightInd w:val="0"/>
        <w:spacing w:before="120" w:after="120"/>
        <w:ind w:left="360"/>
        <w:contextualSpacing w:val="0"/>
        <w:rPr>
          <w:rFonts w:ascii="Arial" w:hAnsi="Arial" w:cs="Arial"/>
          <w:szCs w:val="24"/>
        </w:rPr>
      </w:pPr>
      <w:bookmarkStart w:id="13" w:name="_Hlk83380699"/>
      <w:r w:rsidRPr="00597953">
        <w:rPr>
          <w:rFonts w:ascii="Arial" w:hAnsi="Arial" w:cs="Arial"/>
          <w:szCs w:val="24"/>
          <w:bdr w:val="none" w:sz="0" w:space="0" w:color="auto" w:frame="1"/>
        </w:rPr>
        <w:t>(begin double strikeout)</w:t>
      </w:r>
      <w:r w:rsidR="00504E1B" w:rsidRPr="00C241EC">
        <w:rPr>
          <w:rFonts w:ascii="Arial" w:hAnsi="Arial" w:cs="Arial"/>
          <w:b/>
          <w:bCs/>
          <w:dstrike/>
          <w:szCs w:val="24"/>
          <w:u w:val="single"/>
        </w:rPr>
        <w:t xml:space="preserve">4.106.4.2.3 Electric vehicle charging for additions and alterations of parking facilities serving existing multifamily buildings. </w:t>
      </w:r>
      <w:r w:rsidR="00504E1B" w:rsidRPr="00C241EC">
        <w:rPr>
          <w:rFonts w:ascii="Arial" w:hAnsi="Arial" w:cs="Arial"/>
          <w:dstrike/>
          <w:szCs w:val="24"/>
          <w:u w:val="single"/>
        </w:rPr>
        <w:t>When new parking facilities are added, or electrical systems or lighting of existing parking facilities are added or altered and the work requires a building permit, ten (10) percent of the total number of parking spaces added or altered, shall be electric vehicle charging spaces (EV spaces) capable of supporting future Level 2 EVSE.</w:t>
      </w:r>
    </w:p>
    <w:p w14:paraId="0F08288F" w14:textId="77777777" w:rsidR="00504E1B" w:rsidRPr="00C241EC" w:rsidRDefault="00504E1B" w:rsidP="00504E1B">
      <w:pPr>
        <w:autoSpaceDE w:val="0"/>
        <w:autoSpaceDN w:val="0"/>
        <w:adjustRightInd w:val="0"/>
        <w:spacing w:before="120" w:after="120"/>
        <w:ind w:left="1080" w:hanging="360"/>
        <w:rPr>
          <w:rFonts w:ascii="Arial" w:hAnsi="Arial" w:cs="Arial"/>
          <w:b/>
          <w:bCs/>
          <w:dstrike/>
          <w:szCs w:val="24"/>
          <w:u w:val="single"/>
        </w:rPr>
      </w:pPr>
      <w:r w:rsidRPr="00C241EC">
        <w:rPr>
          <w:rFonts w:ascii="Arial" w:hAnsi="Arial" w:cs="Arial"/>
          <w:b/>
          <w:bCs/>
          <w:dstrike/>
          <w:szCs w:val="24"/>
          <w:u w:val="single"/>
        </w:rPr>
        <w:t>Notes:</w:t>
      </w:r>
    </w:p>
    <w:p w14:paraId="4708A2FB" w14:textId="77777777" w:rsidR="00504E1B" w:rsidRPr="00C241EC" w:rsidRDefault="00504E1B" w:rsidP="00504E1B">
      <w:pPr>
        <w:pStyle w:val="ListParagraph"/>
        <w:widowControl/>
        <w:numPr>
          <w:ilvl w:val="2"/>
          <w:numId w:val="8"/>
        </w:numPr>
        <w:autoSpaceDE w:val="0"/>
        <w:autoSpaceDN w:val="0"/>
        <w:adjustRightInd w:val="0"/>
        <w:spacing w:before="120" w:after="120"/>
        <w:ind w:left="1080" w:hanging="360"/>
        <w:contextualSpacing w:val="0"/>
        <w:rPr>
          <w:rFonts w:ascii="Arial" w:hAnsi="Arial" w:cs="Arial"/>
          <w:dstrike/>
          <w:szCs w:val="24"/>
          <w:u w:val="single"/>
        </w:rPr>
      </w:pPr>
      <w:r w:rsidRPr="00C241EC">
        <w:rPr>
          <w:rFonts w:ascii="Arial" w:hAnsi="Arial" w:cs="Arial"/>
          <w:dstrike/>
          <w:szCs w:val="24"/>
          <w:u w:val="single"/>
        </w:rPr>
        <w:t>Construction documents are intended to demonstrate the project’s capability and capacity for facilitating future EV charging.</w:t>
      </w:r>
    </w:p>
    <w:p w14:paraId="31615765" w14:textId="0D057757" w:rsidR="00504E1B" w:rsidRPr="00C241EC" w:rsidRDefault="00504E1B" w:rsidP="00FA2131">
      <w:pPr>
        <w:pStyle w:val="ListParagraph"/>
        <w:widowControl/>
        <w:numPr>
          <w:ilvl w:val="2"/>
          <w:numId w:val="8"/>
        </w:numPr>
        <w:tabs>
          <w:tab w:val="left" w:pos="2160"/>
        </w:tabs>
        <w:autoSpaceDE w:val="0"/>
        <w:autoSpaceDN w:val="0"/>
        <w:adjustRightInd w:val="0"/>
        <w:spacing w:before="120" w:after="240"/>
        <w:ind w:left="1080" w:hanging="360"/>
        <w:contextualSpacing w:val="0"/>
        <w:rPr>
          <w:rFonts w:ascii="Arial" w:hAnsi="Arial" w:cs="Arial"/>
          <w:dstrike/>
          <w:szCs w:val="24"/>
        </w:rPr>
      </w:pPr>
      <w:r w:rsidRPr="00C241EC">
        <w:rPr>
          <w:rFonts w:ascii="Arial" w:hAnsi="Arial" w:cs="Arial"/>
          <w:dstrike/>
          <w:szCs w:val="24"/>
          <w:u w:val="single"/>
        </w:rPr>
        <w:t>There is no requirement for EV spaces to be constructed or available until EV chargers are installed for use</w:t>
      </w:r>
      <w:r w:rsidRPr="00C241EC">
        <w:rPr>
          <w:rFonts w:ascii="Arial" w:hAnsi="Arial" w:cs="Arial"/>
          <w:dstrike/>
          <w:szCs w:val="24"/>
        </w:rPr>
        <w:t>.</w:t>
      </w:r>
      <w:r w:rsidR="00A5608E" w:rsidRPr="00A5608E">
        <w:rPr>
          <w:rFonts w:ascii="Arial" w:hAnsi="Arial" w:cs="Arial"/>
          <w:szCs w:val="24"/>
        </w:rPr>
        <w:t xml:space="preserve"> </w:t>
      </w:r>
      <w:r w:rsidR="00A5608E" w:rsidRPr="00597953">
        <w:rPr>
          <w:rFonts w:ascii="Arial" w:hAnsi="Arial" w:cs="Arial"/>
          <w:szCs w:val="24"/>
        </w:rPr>
        <w:t>(end double strikeout</w:t>
      </w:r>
      <w:r w:rsidR="00A5608E" w:rsidRPr="00C81700">
        <w:rPr>
          <w:rFonts w:ascii="Arial" w:hAnsi="Arial" w:cs="Arial"/>
          <w:szCs w:val="24"/>
        </w:rPr>
        <w:t>)</w:t>
      </w:r>
    </w:p>
    <w:p w14:paraId="22E9C14B" w14:textId="77777777" w:rsidR="00504E1B" w:rsidRPr="00C241EC" w:rsidRDefault="00504E1B" w:rsidP="00D0669F">
      <w:pPr>
        <w:spacing w:before="120" w:after="240"/>
        <w:rPr>
          <w:rFonts w:ascii="Arial" w:hAnsi="Arial" w:cs="Arial"/>
          <w:b/>
          <w:bCs/>
          <w:szCs w:val="24"/>
        </w:rPr>
      </w:pPr>
      <w:r w:rsidRPr="00C241EC">
        <w:rPr>
          <w:rFonts w:ascii="Arial" w:hAnsi="Arial" w:cs="Arial"/>
          <w:b/>
          <w:bCs/>
          <w:szCs w:val="24"/>
        </w:rPr>
        <w:t xml:space="preserve">Rationale: </w:t>
      </w:r>
      <w:r w:rsidRPr="00C241EC">
        <w:rPr>
          <w:rFonts w:ascii="Arial" w:hAnsi="Arial" w:cs="Arial"/>
          <w:noProof/>
          <w:szCs w:val="24"/>
        </w:rPr>
        <w:t xml:space="preserve">HCD proposes to relocate this section </w:t>
      </w:r>
      <w:r w:rsidRPr="009D295B">
        <w:rPr>
          <w:rFonts w:ascii="Arial" w:hAnsi="Arial" w:cs="Arial"/>
          <w:noProof/>
          <w:szCs w:val="24"/>
        </w:rPr>
        <w:t>and renumber it</w:t>
      </w:r>
      <w:r w:rsidRPr="00C241EC">
        <w:rPr>
          <w:rFonts w:ascii="Arial" w:hAnsi="Arial" w:cs="Arial"/>
          <w:noProof/>
          <w:szCs w:val="24"/>
        </w:rPr>
        <w:t xml:space="preserve"> as section 4.106.4.3 as a separate section instead of being a subsection of new construction. This section references provisions related to existing buildings or existing parking facilities. There is no change in regulatory effect </w:t>
      </w:r>
      <w:r w:rsidRPr="00C241EC">
        <w:rPr>
          <w:rFonts w:ascii="Arial" w:hAnsi="Arial" w:cs="Arial"/>
          <w:szCs w:val="24"/>
        </w:rPr>
        <w:t xml:space="preserve">from the 45-Day Express Terms </w:t>
      </w:r>
      <w:r w:rsidRPr="00C241EC">
        <w:rPr>
          <w:rFonts w:ascii="Arial" w:hAnsi="Arial" w:cs="Arial"/>
          <w:noProof/>
          <w:szCs w:val="24"/>
        </w:rPr>
        <w:t>and this relocation matches the hierarchy format of the code.</w:t>
      </w:r>
    </w:p>
    <w:bookmarkEnd w:id="13"/>
    <w:p w14:paraId="7F8E20B3" w14:textId="7B0442D0" w:rsidR="00504E1B" w:rsidRPr="00C241EC" w:rsidRDefault="00C26B2C" w:rsidP="00504E1B">
      <w:pPr>
        <w:pStyle w:val="ListParagraph"/>
        <w:autoSpaceDE w:val="0"/>
        <w:autoSpaceDN w:val="0"/>
        <w:adjustRightInd w:val="0"/>
        <w:spacing w:before="120" w:after="120"/>
        <w:ind w:hanging="360"/>
        <w:contextualSpacing w:val="0"/>
        <w:rPr>
          <w:rFonts w:ascii="Arial" w:hAnsi="Arial" w:cs="Arial"/>
          <w:b/>
          <w:bCs/>
          <w:szCs w:val="24"/>
          <w:u w:val="single"/>
        </w:rPr>
      </w:pPr>
      <w:r w:rsidRPr="00597953">
        <w:rPr>
          <w:rFonts w:ascii="Arial" w:hAnsi="Arial" w:cs="Arial"/>
          <w:szCs w:val="24"/>
          <w:bdr w:val="none" w:sz="0" w:space="0" w:color="auto" w:frame="1"/>
        </w:rPr>
        <w:t>(begin double strikeout)</w:t>
      </w:r>
      <w:r w:rsidR="00504E1B" w:rsidRPr="00C241EC">
        <w:rPr>
          <w:rFonts w:ascii="Arial" w:hAnsi="Arial" w:cs="Arial"/>
          <w:b/>
          <w:bCs/>
          <w:dstrike/>
          <w:szCs w:val="24"/>
          <w:u w:val="single"/>
        </w:rPr>
        <w:t>4.106.4.2.4</w:t>
      </w:r>
      <w:r w:rsidR="00504E1B" w:rsidRPr="00C241EC">
        <w:rPr>
          <w:rFonts w:ascii="Arial" w:hAnsi="Arial" w:cs="Arial"/>
          <w:b/>
          <w:bCs/>
          <w:szCs w:val="24"/>
          <w:u w:val="single"/>
        </w:rPr>
        <w:t xml:space="preserve"> </w:t>
      </w:r>
      <w:r w:rsidR="00A5608E" w:rsidRPr="00597953">
        <w:rPr>
          <w:rFonts w:ascii="Arial" w:hAnsi="Arial" w:cs="Arial"/>
          <w:szCs w:val="24"/>
        </w:rPr>
        <w:t>(end double strikeout</w:t>
      </w:r>
      <w:r w:rsidR="00A5608E" w:rsidRPr="00C81700">
        <w:rPr>
          <w:rFonts w:ascii="Arial" w:hAnsi="Arial" w:cs="Arial"/>
          <w:szCs w:val="24"/>
        </w:rPr>
        <w:t>)</w:t>
      </w:r>
      <w:r w:rsidRPr="00C26B2C">
        <w:rPr>
          <w:rFonts w:ascii="Arial" w:hAnsi="Arial" w:cs="Arial"/>
          <w:szCs w:val="24"/>
        </w:rPr>
        <w:t xml:space="preserve"> </w:t>
      </w:r>
      <w:r w:rsidRPr="000F78CA">
        <w:rPr>
          <w:rFonts w:ascii="Arial" w:hAnsi="Arial" w:cs="Arial"/>
          <w:szCs w:val="24"/>
        </w:rPr>
        <w:t>(begin double underline)</w:t>
      </w:r>
      <w:r w:rsidR="00A5608E" w:rsidRPr="00C81700">
        <w:rPr>
          <w:rFonts w:ascii="Arial" w:hAnsi="Arial" w:cs="Arial"/>
          <w:szCs w:val="24"/>
        </w:rPr>
        <w:t xml:space="preserve"> </w:t>
      </w:r>
      <w:r w:rsidR="00504E1B" w:rsidRPr="00C241EC">
        <w:rPr>
          <w:rFonts w:ascii="Arial" w:hAnsi="Arial" w:cs="Arial"/>
          <w:b/>
          <w:bCs/>
          <w:szCs w:val="24"/>
          <w:u w:val="double"/>
        </w:rPr>
        <w:t>4.106.4.2.3</w:t>
      </w:r>
      <w:r w:rsidR="00653A3C">
        <w:rPr>
          <w:rFonts w:ascii="Arial" w:hAnsi="Arial" w:cs="Arial"/>
          <w:szCs w:val="24"/>
        </w:rPr>
        <w:t>(end double underline)</w:t>
      </w:r>
      <w:r w:rsidR="00504E1B" w:rsidRPr="00C241EC">
        <w:rPr>
          <w:rFonts w:ascii="Arial" w:hAnsi="Arial" w:cs="Arial"/>
          <w:b/>
          <w:bCs/>
          <w:szCs w:val="24"/>
          <w:u w:val="single"/>
        </w:rPr>
        <w:t xml:space="preserve"> EV space requirements.</w:t>
      </w:r>
      <w:r w:rsidR="00504E1B" w:rsidRPr="00C241EC">
        <w:rPr>
          <w:rFonts w:ascii="Arial" w:hAnsi="Arial" w:cs="Arial"/>
          <w:b/>
          <w:bCs/>
          <w:szCs w:val="24"/>
        </w:rPr>
        <w:t xml:space="preserve"> </w:t>
      </w:r>
      <w:bookmarkStart w:id="14" w:name="_Hlk83384158"/>
      <w:r w:rsidR="00504E1B" w:rsidRPr="00C241EC">
        <w:rPr>
          <w:rFonts w:ascii="Arial" w:eastAsia="Times New Roman" w:hAnsi="Arial" w:cs="Arial"/>
          <w:szCs w:val="24"/>
          <w:shd w:val="clear" w:color="auto" w:fill="FFFFFF"/>
        </w:rPr>
        <w:t xml:space="preserve">(No change to proposed </w:t>
      </w:r>
      <w:r w:rsidR="004A12C4" w:rsidRPr="00C241EC">
        <w:rPr>
          <w:rFonts w:ascii="Arial" w:eastAsia="Times New Roman" w:hAnsi="Arial" w:cs="Arial"/>
          <w:szCs w:val="24"/>
          <w:shd w:val="clear" w:color="auto" w:fill="FFFFFF"/>
        </w:rPr>
        <w:t xml:space="preserve">45-day </w:t>
      </w:r>
      <w:r w:rsidR="00504E1B" w:rsidRPr="00C241EC">
        <w:rPr>
          <w:rFonts w:ascii="Arial" w:eastAsia="Times New Roman" w:hAnsi="Arial" w:cs="Arial"/>
          <w:szCs w:val="24"/>
          <w:shd w:val="clear" w:color="auto" w:fill="FFFFFF"/>
        </w:rPr>
        <w:t>text except renumbering of section.)</w:t>
      </w:r>
      <w:bookmarkEnd w:id="14"/>
    </w:p>
    <w:p w14:paraId="0A896A8B" w14:textId="6D8416B4" w:rsidR="00504E1B" w:rsidRPr="00C241EC" w:rsidRDefault="00C26B2C" w:rsidP="00504E1B">
      <w:pPr>
        <w:autoSpaceDE w:val="0"/>
        <w:autoSpaceDN w:val="0"/>
        <w:adjustRightInd w:val="0"/>
        <w:spacing w:before="120" w:after="120"/>
        <w:ind w:left="360"/>
        <w:rPr>
          <w:rFonts w:ascii="Arial" w:hAnsi="Arial" w:cs="Arial"/>
          <w:szCs w:val="24"/>
        </w:rPr>
      </w:pPr>
      <w:r w:rsidRPr="00597953">
        <w:rPr>
          <w:rFonts w:ascii="Arial" w:hAnsi="Arial" w:cs="Arial"/>
          <w:szCs w:val="24"/>
          <w:bdr w:val="none" w:sz="0" w:space="0" w:color="auto" w:frame="1"/>
        </w:rPr>
        <w:t>(begin double strikeout)</w:t>
      </w:r>
      <w:r w:rsidR="00504E1B" w:rsidRPr="00C241EC">
        <w:rPr>
          <w:rFonts w:ascii="Arial" w:hAnsi="Arial" w:cs="Arial"/>
          <w:b/>
          <w:bCs/>
          <w:dstrike/>
          <w:szCs w:val="24"/>
          <w:u w:val="single"/>
        </w:rPr>
        <w:t>4.106.4.2.5</w:t>
      </w:r>
      <w:r w:rsidR="00A5608E" w:rsidRPr="00597953">
        <w:rPr>
          <w:rFonts w:ascii="Arial" w:hAnsi="Arial" w:cs="Arial"/>
          <w:szCs w:val="24"/>
        </w:rPr>
        <w:t>(end double strikeout</w:t>
      </w:r>
      <w:r w:rsidR="00A5608E" w:rsidRPr="00C81700">
        <w:rPr>
          <w:rFonts w:ascii="Arial" w:hAnsi="Arial" w:cs="Arial"/>
          <w:szCs w:val="24"/>
        </w:rPr>
        <w:t xml:space="preserve">) </w:t>
      </w:r>
      <w:r w:rsidRPr="000F78CA">
        <w:rPr>
          <w:rFonts w:ascii="Arial" w:hAnsi="Arial" w:cs="Arial"/>
          <w:szCs w:val="24"/>
        </w:rPr>
        <w:t>(begin double underline)</w:t>
      </w:r>
      <w:r w:rsidR="00504E1B" w:rsidRPr="00C241EC">
        <w:rPr>
          <w:rFonts w:ascii="Arial" w:hAnsi="Arial" w:cs="Arial"/>
          <w:b/>
          <w:bCs/>
          <w:szCs w:val="24"/>
          <w:u w:val="single"/>
        </w:rPr>
        <w:t xml:space="preserve"> </w:t>
      </w:r>
      <w:r w:rsidR="00504E1B" w:rsidRPr="00C241EC">
        <w:rPr>
          <w:rFonts w:ascii="Arial" w:hAnsi="Arial" w:cs="Arial"/>
          <w:b/>
          <w:bCs/>
          <w:szCs w:val="24"/>
          <w:u w:val="double"/>
        </w:rPr>
        <w:t>4.106.4.2.4</w:t>
      </w:r>
      <w:r w:rsidR="00653A3C">
        <w:rPr>
          <w:rFonts w:ascii="Arial" w:hAnsi="Arial" w:cs="Arial"/>
          <w:szCs w:val="24"/>
        </w:rPr>
        <w:t>(end double underline)</w:t>
      </w:r>
      <w:r w:rsidR="00504E1B" w:rsidRPr="00C241EC">
        <w:rPr>
          <w:rFonts w:ascii="Arial" w:hAnsi="Arial" w:cs="Arial"/>
          <w:b/>
          <w:bCs/>
          <w:szCs w:val="24"/>
          <w:u w:val="single"/>
        </w:rPr>
        <w:t xml:space="preserve"> Identification. </w:t>
      </w:r>
      <w:r w:rsidR="00504E1B" w:rsidRPr="00C241EC">
        <w:rPr>
          <w:rFonts w:ascii="Arial" w:hAnsi="Arial" w:cs="Arial"/>
          <w:szCs w:val="24"/>
          <w:shd w:val="clear" w:color="auto" w:fill="FFFFFF"/>
        </w:rPr>
        <w:t xml:space="preserve">(No change to proposed </w:t>
      </w:r>
      <w:r w:rsidR="004A12C4" w:rsidRPr="00C241EC">
        <w:rPr>
          <w:rFonts w:ascii="Arial" w:hAnsi="Arial" w:cs="Arial"/>
          <w:szCs w:val="24"/>
          <w:shd w:val="clear" w:color="auto" w:fill="FFFFFF"/>
        </w:rPr>
        <w:t xml:space="preserve">45-day </w:t>
      </w:r>
      <w:r w:rsidR="00504E1B" w:rsidRPr="00C241EC">
        <w:rPr>
          <w:rFonts w:ascii="Arial" w:hAnsi="Arial" w:cs="Arial"/>
          <w:szCs w:val="24"/>
          <w:shd w:val="clear" w:color="auto" w:fill="FFFFFF"/>
        </w:rPr>
        <w:lastRenderedPageBreak/>
        <w:t>text except renumbering of section.)</w:t>
      </w:r>
    </w:p>
    <w:p w14:paraId="54C8FF2E" w14:textId="7F67DC04" w:rsidR="00504E1B" w:rsidRPr="00C241EC" w:rsidRDefault="00C26B2C" w:rsidP="00FA2131">
      <w:pPr>
        <w:autoSpaceDE w:val="0"/>
        <w:autoSpaceDN w:val="0"/>
        <w:adjustRightInd w:val="0"/>
        <w:spacing w:before="120" w:after="120"/>
        <w:ind w:left="360"/>
        <w:rPr>
          <w:rFonts w:ascii="Arial" w:hAnsi="Arial" w:cs="Arial"/>
          <w:strike/>
          <w:szCs w:val="24"/>
        </w:rPr>
      </w:pPr>
      <w:r w:rsidRPr="00597953">
        <w:rPr>
          <w:rFonts w:ascii="Arial" w:hAnsi="Arial" w:cs="Arial"/>
          <w:szCs w:val="24"/>
          <w:bdr w:val="none" w:sz="0" w:space="0" w:color="auto" w:frame="1"/>
        </w:rPr>
        <w:t>(begin double strikeout)</w:t>
      </w:r>
      <w:r w:rsidR="00504E1B" w:rsidRPr="00C241EC">
        <w:rPr>
          <w:rFonts w:ascii="Arial" w:hAnsi="Arial" w:cs="Arial"/>
          <w:b/>
          <w:bCs/>
          <w:dstrike/>
          <w:szCs w:val="24"/>
          <w:u w:val="single"/>
        </w:rPr>
        <w:t>4.106.4.2.6</w:t>
      </w:r>
      <w:r w:rsidR="00504E1B" w:rsidRPr="00C241EC">
        <w:rPr>
          <w:rFonts w:ascii="Arial" w:hAnsi="Arial" w:cs="Arial"/>
          <w:b/>
          <w:bCs/>
          <w:szCs w:val="24"/>
          <w:u w:val="single"/>
        </w:rPr>
        <w:t xml:space="preserve"> </w:t>
      </w:r>
      <w:r w:rsidR="00A5608E" w:rsidRPr="00597953">
        <w:rPr>
          <w:rFonts w:ascii="Arial" w:hAnsi="Arial" w:cs="Arial"/>
          <w:szCs w:val="24"/>
        </w:rPr>
        <w:t>(end double strikeout</w:t>
      </w:r>
      <w:r w:rsidR="00A5608E" w:rsidRPr="00C81700">
        <w:rPr>
          <w:rFonts w:ascii="Arial" w:hAnsi="Arial" w:cs="Arial"/>
          <w:szCs w:val="24"/>
        </w:rPr>
        <w:t xml:space="preserve">) </w:t>
      </w:r>
      <w:r w:rsidRPr="000F78CA">
        <w:rPr>
          <w:rFonts w:ascii="Arial" w:hAnsi="Arial" w:cs="Arial"/>
          <w:szCs w:val="24"/>
        </w:rPr>
        <w:t>(begin double underline)</w:t>
      </w:r>
      <w:r w:rsidR="00504E1B" w:rsidRPr="00C241EC">
        <w:rPr>
          <w:rFonts w:ascii="Arial" w:hAnsi="Arial" w:cs="Arial"/>
          <w:b/>
          <w:bCs/>
          <w:szCs w:val="24"/>
          <w:u w:val="double"/>
        </w:rPr>
        <w:t>4.106.4.2.5</w:t>
      </w:r>
      <w:r w:rsidR="00504E1B" w:rsidRPr="00C241EC">
        <w:rPr>
          <w:rFonts w:ascii="Arial" w:hAnsi="Arial" w:cs="Arial"/>
          <w:b/>
          <w:bCs/>
          <w:szCs w:val="24"/>
          <w:u w:val="single"/>
        </w:rPr>
        <w:t xml:space="preserve"> </w:t>
      </w:r>
      <w:r w:rsidR="00653A3C">
        <w:rPr>
          <w:rFonts w:ascii="Arial" w:hAnsi="Arial" w:cs="Arial"/>
          <w:szCs w:val="24"/>
        </w:rPr>
        <w:t>(end double underline)</w:t>
      </w:r>
      <w:r w:rsidR="00504E1B" w:rsidRPr="00C241EC">
        <w:rPr>
          <w:rFonts w:ascii="Arial" w:hAnsi="Arial" w:cs="Arial"/>
          <w:b/>
          <w:bCs/>
          <w:szCs w:val="24"/>
          <w:u w:val="single"/>
        </w:rPr>
        <w:t>Electric Vehicle Ready Space Signage.</w:t>
      </w:r>
      <w:r w:rsidR="00504E1B" w:rsidRPr="00C241EC">
        <w:rPr>
          <w:rFonts w:ascii="Arial" w:hAnsi="Arial" w:cs="Arial"/>
          <w:b/>
          <w:bCs/>
          <w:szCs w:val="24"/>
        </w:rPr>
        <w:t xml:space="preserve"> </w:t>
      </w:r>
      <w:r w:rsidR="00504E1B" w:rsidRPr="00C241EC">
        <w:rPr>
          <w:rFonts w:ascii="Arial" w:hAnsi="Arial" w:cs="Arial"/>
          <w:szCs w:val="24"/>
          <w:shd w:val="clear" w:color="auto" w:fill="FFFFFF"/>
        </w:rPr>
        <w:t xml:space="preserve">(No change to proposed </w:t>
      </w:r>
      <w:r w:rsidR="004A12C4" w:rsidRPr="00C241EC">
        <w:rPr>
          <w:rFonts w:ascii="Arial" w:hAnsi="Arial" w:cs="Arial"/>
          <w:szCs w:val="24"/>
          <w:shd w:val="clear" w:color="auto" w:fill="FFFFFF"/>
        </w:rPr>
        <w:t xml:space="preserve">45-day </w:t>
      </w:r>
      <w:r w:rsidR="00504E1B" w:rsidRPr="00C241EC">
        <w:rPr>
          <w:rFonts w:ascii="Arial" w:hAnsi="Arial" w:cs="Arial"/>
          <w:szCs w:val="24"/>
          <w:shd w:val="clear" w:color="auto" w:fill="FFFFFF"/>
        </w:rPr>
        <w:t>text except renumbering of section.)</w:t>
      </w:r>
    </w:p>
    <w:p w14:paraId="1A35A620" w14:textId="48634E0F" w:rsidR="00504E1B" w:rsidRPr="00C241EC" w:rsidRDefault="00C26B2C" w:rsidP="00504E1B">
      <w:pPr>
        <w:pStyle w:val="ListParagraph"/>
        <w:autoSpaceDE w:val="0"/>
        <w:autoSpaceDN w:val="0"/>
        <w:adjustRightInd w:val="0"/>
        <w:spacing w:before="120" w:after="120"/>
        <w:ind w:left="360"/>
        <w:contextualSpacing w:val="0"/>
        <w:rPr>
          <w:rFonts w:ascii="Arial" w:hAnsi="Arial" w:cs="Arial"/>
          <w:szCs w:val="24"/>
        </w:rPr>
      </w:pPr>
      <w:r w:rsidRPr="000F78CA">
        <w:rPr>
          <w:rFonts w:ascii="Arial" w:hAnsi="Arial" w:cs="Arial"/>
          <w:szCs w:val="24"/>
        </w:rPr>
        <w:t>(begin double underline)</w:t>
      </w:r>
      <w:r w:rsidR="00504E1B" w:rsidRPr="00C241EC">
        <w:rPr>
          <w:rFonts w:ascii="Arial" w:hAnsi="Arial" w:cs="Arial"/>
          <w:b/>
          <w:bCs/>
          <w:szCs w:val="24"/>
          <w:u w:val="double"/>
        </w:rPr>
        <w:t xml:space="preserve">4.106.4.3 Electric vehicle charging for additions and alterations of parking facilities serving existing multifamily buildings. </w:t>
      </w:r>
      <w:r w:rsidR="00504E1B" w:rsidRPr="00C241EC">
        <w:rPr>
          <w:rFonts w:ascii="Arial" w:hAnsi="Arial" w:cs="Arial"/>
          <w:szCs w:val="24"/>
          <w:u w:val="double"/>
        </w:rPr>
        <w:t>When new parking facilities are added, or electrical systems or lighting of existing parking facilities are added or altered and the work requires a building permit, ten (10) percent of the total number of parking spaces added or altered, shall be electric vehicle charging spaces (EV spaces) capable of supporting future Level 2 EVSE.</w:t>
      </w:r>
    </w:p>
    <w:p w14:paraId="1732D845" w14:textId="77777777" w:rsidR="00504E1B" w:rsidRPr="00C241EC" w:rsidRDefault="00504E1B" w:rsidP="00504E1B">
      <w:pPr>
        <w:autoSpaceDE w:val="0"/>
        <w:autoSpaceDN w:val="0"/>
        <w:adjustRightInd w:val="0"/>
        <w:spacing w:before="120" w:after="120"/>
        <w:ind w:left="1080" w:hanging="360"/>
        <w:rPr>
          <w:rFonts w:ascii="Arial" w:hAnsi="Arial" w:cs="Arial"/>
          <w:b/>
          <w:bCs/>
          <w:szCs w:val="24"/>
          <w:u w:val="double"/>
        </w:rPr>
      </w:pPr>
      <w:r w:rsidRPr="00C241EC">
        <w:rPr>
          <w:rFonts w:ascii="Arial" w:hAnsi="Arial" w:cs="Arial"/>
          <w:b/>
          <w:bCs/>
          <w:szCs w:val="24"/>
          <w:u w:val="double"/>
        </w:rPr>
        <w:t>Notes:</w:t>
      </w:r>
    </w:p>
    <w:p w14:paraId="149F7CDA" w14:textId="77777777" w:rsidR="00504E1B" w:rsidRPr="00C241EC" w:rsidRDefault="00504E1B" w:rsidP="00504E1B">
      <w:pPr>
        <w:pStyle w:val="ListParagraph"/>
        <w:widowControl/>
        <w:numPr>
          <w:ilvl w:val="0"/>
          <w:numId w:val="10"/>
        </w:numPr>
        <w:autoSpaceDE w:val="0"/>
        <w:autoSpaceDN w:val="0"/>
        <w:adjustRightInd w:val="0"/>
        <w:spacing w:before="120" w:after="120"/>
        <w:rPr>
          <w:rFonts w:ascii="Arial" w:hAnsi="Arial" w:cs="Arial"/>
          <w:szCs w:val="24"/>
          <w:u w:val="double"/>
        </w:rPr>
      </w:pPr>
      <w:r w:rsidRPr="00C241EC">
        <w:rPr>
          <w:rFonts w:ascii="Arial" w:hAnsi="Arial" w:cs="Arial"/>
          <w:szCs w:val="24"/>
          <w:u w:val="double"/>
        </w:rPr>
        <w:t>Construction documents are intended to demonstrate the project’s capability and capacity for facilitating future EV charging.</w:t>
      </w:r>
    </w:p>
    <w:p w14:paraId="458569FF" w14:textId="3ECB78D9" w:rsidR="00504E1B" w:rsidRPr="00C241EC" w:rsidRDefault="00504E1B" w:rsidP="00855746">
      <w:pPr>
        <w:pStyle w:val="ListParagraph"/>
        <w:widowControl/>
        <w:numPr>
          <w:ilvl w:val="0"/>
          <w:numId w:val="10"/>
        </w:numPr>
        <w:tabs>
          <w:tab w:val="left" w:pos="2160"/>
        </w:tabs>
        <w:autoSpaceDE w:val="0"/>
        <w:autoSpaceDN w:val="0"/>
        <w:adjustRightInd w:val="0"/>
        <w:spacing w:before="120" w:after="120"/>
        <w:rPr>
          <w:rFonts w:ascii="Arial" w:hAnsi="Arial" w:cs="Arial"/>
          <w:szCs w:val="24"/>
          <w:u w:val="double"/>
        </w:rPr>
      </w:pPr>
      <w:r w:rsidRPr="00C241EC">
        <w:rPr>
          <w:rFonts w:ascii="Arial" w:hAnsi="Arial" w:cs="Arial"/>
          <w:szCs w:val="24"/>
          <w:u w:val="double"/>
        </w:rPr>
        <w:t>There is no requirement for EV spaces to be constructed or available until EV chargers are installed for use.</w:t>
      </w:r>
      <w:r w:rsidR="00600F88" w:rsidRPr="00600F88">
        <w:rPr>
          <w:rFonts w:ascii="Arial" w:hAnsi="Arial" w:cs="Arial"/>
          <w:szCs w:val="24"/>
        </w:rPr>
        <w:t xml:space="preserve"> </w:t>
      </w:r>
      <w:r w:rsidR="00600F88">
        <w:rPr>
          <w:rFonts w:ascii="Arial" w:hAnsi="Arial" w:cs="Arial"/>
          <w:szCs w:val="24"/>
        </w:rPr>
        <w:t>(end double underline)</w:t>
      </w:r>
    </w:p>
    <w:p w14:paraId="7D3090E7" w14:textId="03D91D79" w:rsidR="00504E1B" w:rsidRPr="00C241EC" w:rsidRDefault="00504E1B" w:rsidP="00D0669F">
      <w:pPr>
        <w:spacing w:before="120" w:after="240"/>
        <w:rPr>
          <w:rFonts w:ascii="Arial" w:hAnsi="Arial" w:cs="Arial"/>
          <w:snapToGrid/>
          <w:szCs w:val="24"/>
        </w:rPr>
      </w:pPr>
      <w:r w:rsidRPr="00C241EC">
        <w:rPr>
          <w:rFonts w:ascii="Arial" w:hAnsi="Arial" w:cs="Arial"/>
          <w:b/>
          <w:bCs/>
          <w:szCs w:val="24"/>
        </w:rPr>
        <w:t xml:space="preserve">Rationale: </w:t>
      </w:r>
      <w:r w:rsidRPr="00C241EC">
        <w:rPr>
          <w:rFonts w:ascii="Arial" w:hAnsi="Arial" w:cs="Arial"/>
          <w:szCs w:val="24"/>
        </w:rPr>
        <w:t>HCD proposes to relocate</w:t>
      </w:r>
      <w:r w:rsidR="00505F5F">
        <w:rPr>
          <w:rFonts w:ascii="Arial" w:hAnsi="Arial" w:cs="Arial"/>
          <w:szCs w:val="24"/>
        </w:rPr>
        <w:t xml:space="preserve"> and </w:t>
      </w:r>
      <w:r w:rsidR="00505F5F" w:rsidRPr="000F616D">
        <w:rPr>
          <w:rFonts w:ascii="Arial" w:hAnsi="Arial" w:cs="Arial"/>
          <w:szCs w:val="24"/>
        </w:rPr>
        <w:t>renumber</w:t>
      </w:r>
      <w:r w:rsidRPr="000F616D">
        <w:rPr>
          <w:rFonts w:ascii="Arial" w:hAnsi="Arial" w:cs="Arial"/>
          <w:szCs w:val="24"/>
        </w:rPr>
        <w:t xml:space="preserve"> section</w:t>
      </w:r>
      <w:r w:rsidRPr="00C241EC">
        <w:rPr>
          <w:rFonts w:ascii="Arial" w:hAnsi="Arial" w:cs="Arial"/>
          <w:szCs w:val="24"/>
        </w:rPr>
        <w:t xml:space="preserve"> 4.106.4.2.3 </w:t>
      </w:r>
      <w:r w:rsidR="004A12C4" w:rsidRPr="00C241EC">
        <w:rPr>
          <w:rFonts w:ascii="Arial" w:hAnsi="Arial" w:cs="Arial"/>
          <w:szCs w:val="24"/>
        </w:rPr>
        <w:t xml:space="preserve">(as proposed in 45-day text) </w:t>
      </w:r>
      <w:r w:rsidRPr="00C241EC">
        <w:rPr>
          <w:rFonts w:ascii="Arial" w:hAnsi="Arial" w:cs="Arial"/>
          <w:szCs w:val="24"/>
        </w:rPr>
        <w:t>to section 4.106.4.3 locating it outside of the new construction provisions since this section references provisions related to existing buildings or existing parking facilities. There is no change in regulatory effect from the 45-Day Express Terms and this relocation matches the hierarchy format of the code.</w:t>
      </w:r>
    </w:p>
    <w:p w14:paraId="200406E0" w14:textId="77777777" w:rsidR="00504E1B" w:rsidRPr="00C241EC" w:rsidRDefault="00504E1B" w:rsidP="00D0669F">
      <w:pPr>
        <w:spacing w:before="120"/>
        <w:rPr>
          <w:rFonts w:ascii="Arial" w:hAnsi="Arial" w:cs="Arial"/>
          <w:szCs w:val="24"/>
        </w:rPr>
      </w:pPr>
      <w:r w:rsidRPr="00C241EC">
        <w:rPr>
          <w:rFonts w:ascii="Arial" w:hAnsi="Arial" w:cs="Arial"/>
          <w:b/>
          <w:szCs w:val="24"/>
        </w:rPr>
        <w:t>Notation:</w:t>
      </w:r>
    </w:p>
    <w:p w14:paraId="55888BF3" w14:textId="77777777" w:rsidR="00504E1B" w:rsidRPr="00C241EC" w:rsidRDefault="00504E1B" w:rsidP="00855746">
      <w:pPr>
        <w:spacing w:before="120" w:after="120"/>
        <w:rPr>
          <w:rFonts w:ascii="Arial" w:hAnsi="Arial" w:cs="Arial"/>
          <w:szCs w:val="24"/>
        </w:rPr>
      </w:pPr>
      <w:r w:rsidRPr="00C241EC">
        <w:rPr>
          <w:rFonts w:ascii="Arial" w:hAnsi="Arial" w:cs="Arial"/>
          <w:szCs w:val="24"/>
        </w:rPr>
        <w:t>Authority: Health and Safety Code Sections 17040, 17920.9, 17921, 17921.5, 17921.10, 17922, 17922.12, 17922.14, 17928, 18938.3, 18941.10, 18944.11, and 19990; and Government Code Sections 12955.1 and 12955.1.1.</w:t>
      </w:r>
    </w:p>
    <w:p w14:paraId="726DDB8A" w14:textId="77777777" w:rsidR="00504E1B" w:rsidRPr="00C241EC" w:rsidRDefault="00504E1B" w:rsidP="00855746">
      <w:pPr>
        <w:spacing w:before="120" w:after="120"/>
        <w:rPr>
          <w:rFonts w:ascii="Arial" w:hAnsi="Arial" w:cs="Arial"/>
          <w:noProof/>
          <w:szCs w:val="24"/>
        </w:rPr>
      </w:pPr>
      <w:r w:rsidRPr="00C241EC">
        <w:rPr>
          <w:rFonts w:ascii="Arial" w:hAnsi="Arial" w:cs="Arial"/>
          <w:szCs w:val="24"/>
        </w:rPr>
        <w:t>Reference(s):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4E1CBDC9" w14:textId="1611E575" w:rsidR="00504E1B" w:rsidRPr="00C241EC" w:rsidRDefault="00504E1B" w:rsidP="00EE0175">
      <w:pPr>
        <w:pStyle w:val="Heading1"/>
        <w:spacing w:after="120"/>
        <w:rPr>
          <w:rFonts w:cs="Arial"/>
          <w:bCs/>
          <w:szCs w:val="24"/>
          <w:u w:val="single"/>
        </w:rPr>
      </w:pPr>
      <w:r w:rsidRPr="00C241EC">
        <w:rPr>
          <w:rFonts w:cs="Arial"/>
          <w:szCs w:val="24"/>
        </w:rPr>
        <w:t xml:space="preserve">Item </w:t>
      </w:r>
      <w:r w:rsidRPr="00C241EC">
        <w:rPr>
          <w:rFonts w:cs="Arial"/>
          <w:noProof/>
          <w:szCs w:val="24"/>
        </w:rPr>
        <w:t xml:space="preserve">11 </w:t>
      </w:r>
      <w:r w:rsidR="0063342E">
        <w:rPr>
          <w:rFonts w:cs="Arial"/>
          <w:noProof/>
          <w:szCs w:val="24"/>
        </w:rPr>
        <w:br/>
      </w:r>
      <w:r w:rsidRPr="00C241EC">
        <w:rPr>
          <w:rFonts w:cs="Arial"/>
          <w:szCs w:val="24"/>
        </w:rPr>
        <w:t>Appendix A4 Residential Voluntary Measures</w:t>
      </w:r>
      <w:r w:rsidRPr="00C241EC">
        <w:rPr>
          <w:rFonts w:cs="Arial"/>
          <w:noProof/>
          <w:szCs w:val="24"/>
        </w:rPr>
        <w:t xml:space="preserve">, </w:t>
      </w:r>
      <w:r w:rsidRPr="00C241EC">
        <w:rPr>
          <w:rFonts w:cs="Arial"/>
          <w:szCs w:val="24"/>
        </w:rPr>
        <w:t>Division A</w:t>
      </w:r>
      <w:r w:rsidRPr="00C241EC">
        <w:rPr>
          <w:rFonts w:cs="Arial"/>
          <w:bCs/>
          <w:snapToGrid/>
          <w:szCs w:val="24"/>
        </w:rPr>
        <w:t xml:space="preserve">4.1 Planning and Design, </w:t>
      </w:r>
      <w:r w:rsidRPr="00C241EC">
        <w:rPr>
          <w:rFonts w:cs="Arial"/>
          <w:szCs w:val="24"/>
        </w:rPr>
        <w:t xml:space="preserve">Section </w:t>
      </w:r>
      <w:r w:rsidRPr="00C241EC">
        <w:rPr>
          <w:rFonts w:cs="Arial"/>
          <w:bCs/>
          <w:szCs w:val="24"/>
        </w:rPr>
        <w:t>A4.106.8.2.1 Multifamily development projects and hotels and motels.</w:t>
      </w:r>
    </w:p>
    <w:p w14:paraId="3FA99D5D" w14:textId="77777777" w:rsidR="00504E1B" w:rsidRPr="00C241EC" w:rsidRDefault="00504E1B" w:rsidP="00504E1B">
      <w:pPr>
        <w:autoSpaceDE w:val="0"/>
        <w:autoSpaceDN w:val="0"/>
        <w:adjustRightInd w:val="0"/>
        <w:spacing w:before="120" w:after="120" w:line="276" w:lineRule="auto"/>
        <w:ind w:left="360"/>
        <w:rPr>
          <w:rFonts w:ascii="Arial" w:hAnsi="Arial" w:cs="Arial"/>
          <w:b/>
          <w:bCs/>
          <w:szCs w:val="24"/>
          <w:u w:val="single"/>
        </w:rPr>
      </w:pPr>
      <w:r w:rsidRPr="00C241EC">
        <w:rPr>
          <w:rFonts w:ascii="Arial" w:hAnsi="Arial" w:cs="Arial"/>
          <w:b/>
          <w:bCs/>
          <w:szCs w:val="24"/>
          <w:u w:val="single"/>
        </w:rPr>
        <w:t>A4.106.8.2.1 Multifamily development projects and hotels and motels.</w:t>
      </w:r>
    </w:p>
    <w:p w14:paraId="6906CE5A" w14:textId="77777777" w:rsidR="00504E1B" w:rsidRPr="00C241EC" w:rsidRDefault="00504E1B" w:rsidP="00504E1B">
      <w:pPr>
        <w:widowControl/>
        <w:spacing w:before="120" w:after="120" w:line="276" w:lineRule="auto"/>
        <w:ind w:left="720"/>
        <w:rPr>
          <w:rFonts w:ascii="Arial" w:hAnsi="Arial" w:cs="Arial"/>
          <w:b/>
          <w:bCs/>
          <w:szCs w:val="24"/>
          <w:u w:val="single"/>
        </w:rPr>
      </w:pPr>
      <w:r w:rsidRPr="00C241EC">
        <w:rPr>
          <w:rFonts w:ascii="Arial" w:hAnsi="Arial" w:cs="Arial"/>
          <w:b/>
          <w:bCs/>
          <w:szCs w:val="24"/>
          <w:u w:val="single"/>
        </w:rPr>
        <w:t>Tier 1.</w:t>
      </w:r>
    </w:p>
    <w:p w14:paraId="45273D2B" w14:textId="0434B2B7" w:rsidR="00504E1B" w:rsidRPr="00C241EC" w:rsidRDefault="00504E1B" w:rsidP="00504E1B">
      <w:pPr>
        <w:widowControl/>
        <w:spacing w:before="120" w:after="120" w:line="276" w:lineRule="auto"/>
        <w:ind w:left="1080"/>
        <w:rPr>
          <w:rFonts w:ascii="Arial" w:hAnsi="Arial" w:cs="Arial"/>
          <w:szCs w:val="24"/>
          <w:shd w:val="clear" w:color="auto" w:fill="FFFFFF"/>
        </w:rPr>
      </w:pPr>
      <w:r w:rsidRPr="00C241EC">
        <w:rPr>
          <w:rFonts w:ascii="Arial" w:hAnsi="Arial" w:cs="Arial"/>
          <w:b/>
          <w:bCs/>
          <w:szCs w:val="24"/>
          <w:u w:val="single"/>
          <w:shd w:val="clear" w:color="auto" w:fill="FFFFFF"/>
        </w:rPr>
        <w:t>EV Ready.</w:t>
      </w:r>
      <w:r w:rsidRPr="00C241EC">
        <w:rPr>
          <w:rFonts w:ascii="Arial" w:hAnsi="Arial" w:cs="Arial"/>
          <w:szCs w:val="24"/>
          <w:shd w:val="clear" w:color="auto" w:fill="FFFFFF"/>
        </w:rPr>
        <w:t xml:space="preserve"> (No change to </w:t>
      </w:r>
      <w:r w:rsidR="004A12C4" w:rsidRPr="00C241EC">
        <w:rPr>
          <w:rFonts w:ascii="Arial" w:hAnsi="Arial" w:cs="Arial"/>
          <w:szCs w:val="24"/>
          <w:shd w:val="clear" w:color="auto" w:fill="FFFFFF"/>
        </w:rPr>
        <w:t xml:space="preserve">45-day </w:t>
      </w:r>
      <w:r w:rsidRPr="00C241EC">
        <w:rPr>
          <w:rFonts w:ascii="Arial" w:hAnsi="Arial" w:cs="Arial"/>
          <w:szCs w:val="24"/>
          <w:shd w:val="clear" w:color="auto" w:fill="FFFFFF"/>
        </w:rPr>
        <w:t>proposed text.)</w:t>
      </w:r>
    </w:p>
    <w:p w14:paraId="15BE7D2C" w14:textId="30695BF6" w:rsidR="00504E1B" w:rsidRPr="00C241EC" w:rsidRDefault="00504E1B" w:rsidP="00504E1B">
      <w:pPr>
        <w:autoSpaceDE w:val="0"/>
        <w:autoSpaceDN w:val="0"/>
        <w:adjustRightInd w:val="0"/>
        <w:spacing w:before="120" w:after="120"/>
        <w:ind w:left="1080"/>
        <w:rPr>
          <w:rFonts w:ascii="Arial" w:hAnsi="Arial" w:cs="Arial"/>
          <w:szCs w:val="24"/>
          <w:u w:val="single"/>
        </w:rPr>
      </w:pPr>
      <w:r w:rsidRPr="00C241EC">
        <w:rPr>
          <w:rFonts w:ascii="Arial" w:hAnsi="Arial" w:cs="Arial"/>
          <w:b/>
          <w:bCs/>
          <w:szCs w:val="24"/>
          <w:u w:val="single"/>
          <w:shd w:val="clear" w:color="auto" w:fill="FFFFFF"/>
        </w:rPr>
        <w:t>EV Chargers for projects with 20 or more dwelling units, s</w:t>
      </w:r>
      <w:r w:rsidRPr="00C241EC">
        <w:rPr>
          <w:rFonts w:ascii="Arial" w:hAnsi="Arial" w:cs="Arial"/>
          <w:b/>
          <w:bCs/>
          <w:szCs w:val="24"/>
          <w:u w:val="single"/>
        </w:rPr>
        <w:t xml:space="preserve">leeping units </w:t>
      </w:r>
      <w:r w:rsidRPr="00C241EC">
        <w:rPr>
          <w:rFonts w:ascii="Arial" w:hAnsi="Arial" w:cs="Arial"/>
          <w:b/>
          <w:bCs/>
          <w:szCs w:val="24"/>
          <w:u w:val="single"/>
        </w:rPr>
        <w:lastRenderedPageBreak/>
        <w:t>or guest rooms</w:t>
      </w:r>
      <w:r w:rsidRPr="00C241EC">
        <w:rPr>
          <w:rFonts w:ascii="Arial" w:hAnsi="Arial" w:cs="Arial"/>
          <w:b/>
          <w:bCs/>
          <w:szCs w:val="24"/>
          <w:u w:val="single"/>
          <w:shd w:val="clear" w:color="auto" w:fill="FFFFFF"/>
        </w:rPr>
        <w:t>.</w:t>
      </w:r>
      <w:r w:rsidRPr="00C241EC">
        <w:rPr>
          <w:rFonts w:ascii="Arial" w:hAnsi="Arial" w:cs="Arial"/>
          <w:szCs w:val="24"/>
          <w:u w:val="single"/>
          <w:shd w:val="clear" w:color="auto" w:fill="FFFFFF"/>
        </w:rPr>
        <w:t xml:space="preserve"> Ten (</w:t>
      </w:r>
      <w:r w:rsidRPr="00C241EC">
        <w:rPr>
          <w:rFonts w:ascii="Arial" w:hAnsi="Arial" w:cs="Arial"/>
          <w:szCs w:val="24"/>
          <w:u w:val="single"/>
          <w:bdr w:val="none" w:sz="0" w:space="0" w:color="auto" w:frame="1"/>
        </w:rPr>
        <w:t xml:space="preserve">10) percent of the total number of parking spaces shall be equipped with Level 2 EVSE. </w:t>
      </w:r>
      <w:r w:rsidRPr="00C241EC">
        <w:rPr>
          <w:rFonts w:ascii="Arial" w:hAnsi="Arial" w:cs="Arial"/>
          <w:szCs w:val="24"/>
          <w:u w:val="single"/>
        </w:rPr>
        <w:t xml:space="preserve">Where common use parking is provided, at least one EV charger shall </w:t>
      </w:r>
      <w:proofErr w:type="gramStart"/>
      <w:r w:rsidRPr="00C241EC">
        <w:rPr>
          <w:rFonts w:ascii="Arial" w:hAnsi="Arial" w:cs="Arial"/>
          <w:szCs w:val="24"/>
          <w:u w:val="single"/>
        </w:rPr>
        <w:t>be located in</w:t>
      </w:r>
      <w:proofErr w:type="gramEnd"/>
      <w:r w:rsidRPr="00C241EC">
        <w:rPr>
          <w:rFonts w:ascii="Arial" w:hAnsi="Arial" w:cs="Arial"/>
          <w:szCs w:val="24"/>
          <w:u w:val="single"/>
        </w:rPr>
        <w:t xml:space="preserve"> the common use parking area and shall be available for use by all residents or guests</w:t>
      </w:r>
      <w:r w:rsidRPr="00C241EC">
        <w:rPr>
          <w:rFonts w:ascii="Arial" w:hAnsi="Arial" w:cs="Arial"/>
          <w:szCs w:val="24"/>
          <w:u w:val="single"/>
          <w:bdr w:val="none" w:sz="0" w:space="0" w:color="auto" w:frame="1"/>
        </w:rPr>
        <w:t xml:space="preserve">. </w:t>
      </w:r>
      <w:r w:rsidR="00C26B2C" w:rsidRPr="00597953">
        <w:rPr>
          <w:rFonts w:ascii="Arial" w:hAnsi="Arial" w:cs="Arial"/>
          <w:szCs w:val="24"/>
          <w:bdr w:val="none" w:sz="0" w:space="0" w:color="auto" w:frame="1"/>
        </w:rPr>
        <w:t>(begin double strikeout)</w:t>
      </w:r>
      <w:r w:rsidRPr="00C241EC">
        <w:rPr>
          <w:rFonts w:ascii="Arial" w:hAnsi="Arial" w:cs="Arial"/>
          <w:dstrike/>
          <w:szCs w:val="24"/>
          <w:u w:val="single"/>
        </w:rPr>
        <w:t>When chargers are installed, spaces shall comply with Sections 4.106.4.2.2.1 and 4.106.4.2.2.2.</w:t>
      </w:r>
      <w:r w:rsidR="00A5608E" w:rsidRPr="00A5608E">
        <w:rPr>
          <w:rFonts w:ascii="Arial" w:hAnsi="Arial" w:cs="Arial"/>
          <w:szCs w:val="24"/>
        </w:rPr>
        <w:t xml:space="preserve"> </w:t>
      </w:r>
      <w:r w:rsidR="00A5608E" w:rsidRPr="00597953">
        <w:rPr>
          <w:rFonts w:ascii="Arial" w:hAnsi="Arial" w:cs="Arial"/>
          <w:szCs w:val="24"/>
        </w:rPr>
        <w:t>(end double strikeout</w:t>
      </w:r>
      <w:r w:rsidR="00A5608E" w:rsidRPr="00C81700">
        <w:rPr>
          <w:rFonts w:ascii="Arial" w:hAnsi="Arial" w:cs="Arial"/>
          <w:szCs w:val="24"/>
        </w:rPr>
        <w:t>)</w:t>
      </w:r>
    </w:p>
    <w:p w14:paraId="47D4AF4A" w14:textId="77777777" w:rsidR="00504E1B" w:rsidRPr="00C241EC" w:rsidRDefault="00504E1B" w:rsidP="00504E1B">
      <w:pPr>
        <w:autoSpaceDE w:val="0"/>
        <w:autoSpaceDN w:val="0"/>
        <w:adjustRightInd w:val="0"/>
        <w:spacing w:before="120" w:after="120"/>
        <w:ind w:left="720"/>
        <w:rPr>
          <w:rFonts w:ascii="Arial" w:hAnsi="Arial" w:cs="Arial"/>
          <w:b/>
          <w:bCs/>
          <w:szCs w:val="24"/>
          <w:u w:val="single"/>
        </w:rPr>
      </w:pPr>
      <w:r w:rsidRPr="00C241EC">
        <w:rPr>
          <w:rFonts w:ascii="Arial" w:hAnsi="Arial" w:cs="Arial"/>
          <w:b/>
          <w:bCs/>
          <w:szCs w:val="24"/>
          <w:u w:val="single"/>
        </w:rPr>
        <w:t>Tier 2.</w:t>
      </w:r>
    </w:p>
    <w:p w14:paraId="45558D76" w14:textId="714CB9EC" w:rsidR="00504E1B" w:rsidRPr="00C241EC" w:rsidRDefault="00504E1B" w:rsidP="00504E1B">
      <w:pPr>
        <w:widowControl/>
        <w:spacing w:before="120" w:after="120" w:line="276" w:lineRule="auto"/>
        <w:ind w:left="1080"/>
        <w:rPr>
          <w:rFonts w:ascii="Arial" w:hAnsi="Arial" w:cs="Arial"/>
          <w:szCs w:val="24"/>
          <w:shd w:val="clear" w:color="auto" w:fill="FFFFFF"/>
        </w:rPr>
      </w:pPr>
      <w:r w:rsidRPr="00C241EC">
        <w:rPr>
          <w:rFonts w:ascii="Arial" w:hAnsi="Arial" w:cs="Arial"/>
          <w:b/>
          <w:bCs/>
          <w:szCs w:val="24"/>
          <w:u w:val="single"/>
          <w:shd w:val="clear" w:color="auto" w:fill="FFFFFF"/>
        </w:rPr>
        <w:t>EV Ready.</w:t>
      </w:r>
      <w:r w:rsidRPr="00C241EC">
        <w:rPr>
          <w:rFonts w:ascii="Arial" w:hAnsi="Arial" w:cs="Arial"/>
          <w:szCs w:val="24"/>
          <w:shd w:val="clear" w:color="auto" w:fill="FFFFFF"/>
        </w:rPr>
        <w:t xml:space="preserve"> (No change to </w:t>
      </w:r>
      <w:r w:rsidR="004A12C4" w:rsidRPr="00C241EC">
        <w:rPr>
          <w:rFonts w:ascii="Arial" w:hAnsi="Arial" w:cs="Arial"/>
          <w:szCs w:val="24"/>
          <w:shd w:val="clear" w:color="auto" w:fill="FFFFFF"/>
        </w:rPr>
        <w:t xml:space="preserve">45-day </w:t>
      </w:r>
      <w:r w:rsidRPr="00C241EC">
        <w:rPr>
          <w:rFonts w:ascii="Arial" w:hAnsi="Arial" w:cs="Arial"/>
          <w:szCs w:val="24"/>
          <w:shd w:val="clear" w:color="auto" w:fill="FFFFFF"/>
        </w:rPr>
        <w:t>proposed text.)</w:t>
      </w:r>
    </w:p>
    <w:p w14:paraId="4C0153EA" w14:textId="54F9C0F6" w:rsidR="00504E1B" w:rsidRPr="00C241EC" w:rsidRDefault="00504E1B" w:rsidP="00EE0175">
      <w:pPr>
        <w:autoSpaceDE w:val="0"/>
        <w:autoSpaceDN w:val="0"/>
        <w:adjustRightInd w:val="0"/>
        <w:spacing w:before="120" w:after="240"/>
        <w:ind w:left="1080"/>
        <w:rPr>
          <w:rFonts w:ascii="Arial" w:hAnsi="Arial" w:cs="Arial"/>
          <w:dstrike/>
          <w:szCs w:val="24"/>
        </w:rPr>
      </w:pPr>
      <w:r w:rsidRPr="00C241EC">
        <w:rPr>
          <w:rFonts w:ascii="Arial" w:hAnsi="Arial" w:cs="Arial"/>
          <w:b/>
          <w:bCs/>
          <w:szCs w:val="24"/>
          <w:u w:val="single"/>
          <w:shd w:val="clear" w:color="auto" w:fill="FFFFFF"/>
        </w:rPr>
        <w:t>EV Chargers for projects with 20 or more dwelling units, s</w:t>
      </w:r>
      <w:r w:rsidRPr="00C241EC">
        <w:rPr>
          <w:rFonts w:ascii="Arial" w:hAnsi="Arial" w:cs="Arial"/>
          <w:b/>
          <w:bCs/>
          <w:szCs w:val="24"/>
          <w:u w:val="single"/>
        </w:rPr>
        <w:t>leeping units or guest rooms</w:t>
      </w:r>
      <w:r w:rsidRPr="00C241EC">
        <w:rPr>
          <w:rFonts w:ascii="Arial" w:hAnsi="Arial" w:cs="Arial"/>
          <w:b/>
          <w:bCs/>
          <w:szCs w:val="24"/>
          <w:u w:val="single"/>
          <w:shd w:val="clear" w:color="auto" w:fill="FFFFFF"/>
        </w:rPr>
        <w:t>.</w:t>
      </w:r>
      <w:r w:rsidRPr="00C241EC">
        <w:rPr>
          <w:rFonts w:ascii="Arial" w:hAnsi="Arial" w:cs="Arial"/>
          <w:szCs w:val="24"/>
          <w:u w:val="single"/>
          <w:shd w:val="clear" w:color="auto" w:fill="FFFFFF"/>
        </w:rPr>
        <w:t xml:space="preserve"> Fifteen (</w:t>
      </w:r>
      <w:r w:rsidRPr="00C241EC">
        <w:rPr>
          <w:rFonts w:ascii="Arial" w:hAnsi="Arial" w:cs="Arial"/>
          <w:szCs w:val="24"/>
          <w:u w:val="single"/>
          <w:bdr w:val="none" w:sz="0" w:space="0" w:color="auto" w:frame="1"/>
        </w:rPr>
        <w:t xml:space="preserve">15) percent of the total number of parking spaces shall be equipped with Level 2 EVSE. </w:t>
      </w:r>
      <w:r w:rsidRPr="00C241EC">
        <w:rPr>
          <w:rFonts w:ascii="Arial" w:hAnsi="Arial" w:cs="Arial"/>
          <w:szCs w:val="24"/>
          <w:u w:val="single"/>
        </w:rPr>
        <w:t xml:space="preserve">Where common use parking is provided, at least one EV charger shall </w:t>
      </w:r>
      <w:proofErr w:type="gramStart"/>
      <w:r w:rsidRPr="00C241EC">
        <w:rPr>
          <w:rFonts w:ascii="Arial" w:hAnsi="Arial" w:cs="Arial"/>
          <w:szCs w:val="24"/>
          <w:u w:val="single"/>
        </w:rPr>
        <w:t>be located in</w:t>
      </w:r>
      <w:proofErr w:type="gramEnd"/>
      <w:r w:rsidRPr="00C241EC">
        <w:rPr>
          <w:rFonts w:ascii="Arial" w:hAnsi="Arial" w:cs="Arial"/>
          <w:szCs w:val="24"/>
          <w:u w:val="single"/>
        </w:rPr>
        <w:t xml:space="preserve"> the common use parking area and shall be available for use by all residents or guests</w:t>
      </w:r>
      <w:r w:rsidRPr="00C241EC">
        <w:rPr>
          <w:rFonts w:ascii="Arial" w:hAnsi="Arial" w:cs="Arial"/>
          <w:szCs w:val="24"/>
          <w:u w:val="single"/>
          <w:bdr w:val="none" w:sz="0" w:space="0" w:color="auto" w:frame="1"/>
        </w:rPr>
        <w:t xml:space="preserve">. </w:t>
      </w:r>
      <w:r w:rsidR="00C26B2C" w:rsidRPr="00597953">
        <w:rPr>
          <w:rFonts w:ascii="Arial" w:hAnsi="Arial" w:cs="Arial"/>
          <w:szCs w:val="24"/>
          <w:bdr w:val="none" w:sz="0" w:space="0" w:color="auto" w:frame="1"/>
        </w:rPr>
        <w:t>(begin double strikeout)</w:t>
      </w:r>
      <w:r w:rsidRPr="00C241EC">
        <w:rPr>
          <w:rFonts w:ascii="Arial" w:hAnsi="Arial" w:cs="Arial"/>
          <w:dstrike/>
          <w:szCs w:val="24"/>
          <w:u w:val="single"/>
        </w:rPr>
        <w:t>When chargers are installed, spaces shall comply with Sections 4.106.4.2.2.1 and 4.106.4.2.2.2</w:t>
      </w:r>
      <w:r w:rsidRPr="00C241EC">
        <w:rPr>
          <w:rFonts w:ascii="Arial" w:hAnsi="Arial" w:cs="Arial"/>
          <w:szCs w:val="24"/>
          <w:u w:val="single"/>
        </w:rPr>
        <w:t>.</w:t>
      </w:r>
      <w:r w:rsidR="00A5608E" w:rsidRPr="00A5608E">
        <w:rPr>
          <w:rFonts w:ascii="Arial" w:hAnsi="Arial" w:cs="Arial"/>
          <w:szCs w:val="24"/>
        </w:rPr>
        <w:t xml:space="preserve"> </w:t>
      </w:r>
      <w:r w:rsidR="00A5608E" w:rsidRPr="00597953">
        <w:rPr>
          <w:rFonts w:ascii="Arial" w:hAnsi="Arial" w:cs="Arial"/>
          <w:szCs w:val="24"/>
        </w:rPr>
        <w:t>(end double strikeout</w:t>
      </w:r>
      <w:r w:rsidR="00A5608E" w:rsidRPr="00C81700">
        <w:rPr>
          <w:rFonts w:ascii="Arial" w:hAnsi="Arial" w:cs="Arial"/>
          <w:szCs w:val="24"/>
        </w:rPr>
        <w:t>)</w:t>
      </w:r>
    </w:p>
    <w:p w14:paraId="2C748593" w14:textId="6068BF91" w:rsidR="00504E1B" w:rsidRPr="00C241EC" w:rsidRDefault="00504E1B" w:rsidP="00D0669F">
      <w:pPr>
        <w:spacing w:before="120" w:after="240"/>
        <w:rPr>
          <w:rFonts w:ascii="Arial" w:hAnsi="Arial" w:cs="Arial"/>
          <w:szCs w:val="24"/>
        </w:rPr>
      </w:pPr>
      <w:r w:rsidRPr="00C241EC">
        <w:rPr>
          <w:rFonts w:ascii="Arial" w:hAnsi="Arial" w:cs="Arial"/>
          <w:b/>
          <w:bCs/>
          <w:szCs w:val="24"/>
        </w:rPr>
        <w:t>Rationale for Tier 1 and Tier 2:</w:t>
      </w:r>
      <w:r w:rsidRPr="00C241EC">
        <w:rPr>
          <w:rFonts w:ascii="Arial" w:hAnsi="Arial" w:cs="Arial"/>
          <w:szCs w:val="24"/>
        </w:rPr>
        <w:t xml:space="preserve"> HCD proposes to remove the last sentence in the </w:t>
      </w:r>
      <w:r w:rsidR="004A12C4" w:rsidRPr="00C241EC">
        <w:rPr>
          <w:rFonts w:ascii="Arial" w:hAnsi="Arial" w:cs="Arial"/>
          <w:szCs w:val="24"/>
        </w:rPr>
        <w:t xml:space="preserve">45-day </w:t>
      </w:r>
      <w:r w:rsidRPr="00C241EC">
        <w:rPr>
          <w:rFonts w:ascii="Arial" w:hAnsi="Arial" w:cs="Arial"/>
          <w:szCs w:val="24"/>
        </w:rPr>
        <w:t>Tier 1 and Tier 2 requirements for EV chargers for projects with 20 or more dwelling units, sleeping units or guest rooms. The reference to the code sections in these sentences are not applicable to the CBC Chapter</w:t>
      </w:r>
      <w:r w:rsidR="004A12C4" w:rsidRPr="00C241EC">
        <w:rPr>
          <w:rFonts w:ascii="Arial" w:hAnsi="Arial" w:cs="Arial"/>
          <w:szCs w:val="24"/>
        </w:rPr>
        <w:t> </w:t>
      </w:r>
      <w:r w:rsidRPr="00C241EC">
        <w:rPr>
          <w:rFonts w:ascii="Arial" w:hAnsi="Arial" w:cs="Arial"/>
          <w:szCs w:val="24"/>
        </w:rPr>
        <w:t>11B-regulated facilities of public housing, hotels, and motels; and do not reference the exception of these requirements for these facilities already in regulation.</w:t>
      </w:r>
    </w:p>
    <w:p w14:paraId="5B93C16B" w14:textId="1EE7FCAB" w:rsidR="004A12C4" w:rsidRPr="00C241EC" w:rsidRDefault="004A12C4" w:rsidP="004A12C4">
      <w:pPr>
        <w:spacing w:after="120"/>
        <w:rPr>
          <w:rFonts w:ascii="Arial" w:hAnsi="Arial" w:cs="Arial"/>
          <w:szCs w:val="24"/>
        </w:rPr>
      </w:pPr>
      <w:r w:rsidRPr="00C241EC">
        <w:rPr>
          <w:rFonts w:ascii="Arial" w:hAnsi="Arial" w:cs="Arial"/>
          <w:b/>
          <w:bCs/>
          <w:szCs w:val="24"/>
        </w:rPr>
        <w:t>A4.106.8.2.</w:t>
      </w:r>
      <w:r w:rsidRPr="00C241EC">
        <w:rPr>
          <w:rFonts w:ascii="Arial" w:hAnsi="Arial" w:cs="Arial"/>
          <w:b/>
          <w:bCs/>
          <w:strike/>
          <w:szCs w:val="24"/>
        </w:rPr>
        <w:t>1</w:t>
      </w:r>
      <w:r w:rsidRPr="00C241EC">
        <w:rPr>
          <w:rFonts w:ascii="Arial" w:hAnsi="Arial" w:cs="Arial"/>
          <w:b/>
          <w:bCs/>
          <w:szCs w:val="24"/>
          <w:u w:val="single"/>
        </w:rPr>
        <w:t>2</w:t>
      </w:r>
      <w:r w:rsidRPr="00C241EC">
        <w:rPr>
          <w:rFonts w:ascii="Arial" w:hAnsi="Arial" w:cs="Arial"/>
          <w:b/>
          <w:bCs/>
          <w:szCs w:val="24"/>
        </w:rPr>
        <w:t xml:space="preserve"> Technical requirements</w:t>
      </w:r>
      <w:r w:rsidRPr="00C241EC">
        <w:rPr>
          <w:rFonts w:ascii="Arial" w:hAnsi="Arial" w:cs="Arial"/>
          <w:szCs w:val="24"/>
        </w:rPr>
        <w:t xml:space="preserve">. The EV spaces required by Section A4.106.8.2 shall be designed and constructed in accordance with Sections </w:t>
      </w:r>
      <w:r w:rsidRPr="00C241EC">
        <w:rPr>
          <w:rFonts w:ascii="Arial" w:hAnsi="Arial" w:cs="Arial"/>
          <w:strike/>
          <w:szCs w:val="24"/>
        </w:rPr>
        <w:t xml:space="preserve">4.106.4.2 (Notes), 4.106.4.2.1, 4.106.4.2.2, 4.106.4.2.3, 4.106.4.2.4, and 4.106.4.2.5 </w:t>
      </w:r>
      <w:r w:rsidR="00C26B2C" w:rsidRPr="00597953">
        <w:rPr>
          <w:rFonts w:ascii="Arial" w:hAnsi="Arial" w:cs="Arial"/>
          <w:szCs w:val="24"/>
          <w:bdr w:val="none" w:sz="0" w:space="0" w:color="auto" w:frame="1"/>
        </w:rPr>
        <w:t>(begin double strikeout)</w:t>
      </w:r>
      <w:r w:rsidRPr="00C241EC">
        <w:rPr>
          <w:rFonts w:ascii="Arial" w:hAnsi="Arial" w:cs="Arial"/>
          <w:dstrike/>
          <w:szCs w:val="24"/>
          <w:u w:val="single"/>
        </w:rPr>
        <w:t xml:space="preserve">4.106.4.2.1 (Notes), 4.106.4.2.2.1, 4.106.4.2.2.2, 4.106.4.2.2.3, 4.106.4.2.4(1) and (2), 4.106.4.2.5, and 4.106.4.2.6 </w:t>
      </w:r>
      <w:r w:rsidR="00A5608E" w:rsidRPr="00597953">
        <w:rPr>
          <w:rFonts w:ascii="Arial" w:hAnsi="Arial" w:cs="Arial"/>
          <w:szCs w:val="24"/>
        </w:rPr>
        <w:t>(end double strikeout</w:t>
      </w:r>
      <w:r w:rsidR="00A5608E" w:rsidRPr="00C81700">
        <w:rPr>
          <w:rFonts w:ascii="Arial" w:hAnsi="Arial" w:cs="Arial"/>
          <w:szCs w:val="24"/>
        </w:rPr>
        <w:t xml:space="preserve">) </w:t>
      </w:r>
      <w:r w:rsidR="00653A3C" w:rsidRPr="000F78CA">
        <w:rPr>
          <w:rFonts w:ascii="Arial" w:hAnsi="Arial" w:cs="Arial"/>
          <w:szCs w:val="24"/>
        </w:rPr>
        <w:t>(begin double underline)</w:t>
      </w:r>
      <w:r w:rsidRPr="00C241EC">
        <w:rPr>
          <w:rFonts w:ascii="Arial" w:hAnsi="Arial" w:cs="Arial"/>
          <w:szCs w:val="24"/>
          <w:u w:val="double"/>
        </w:rPr>
        <w:t>4.106.4.2, 4.106.4.2.1 (Notes), 4.106.4.2.2 (Notes), 4.106.4.2.2.1.1, 4.106.4.2.2.1.2, 4.106.4.2.2.1.3, 4.106.4.2.3, 4.106.4.2.4, and 4.106.4.2.5</w:t>
      </w:r>
      <w:r w:rsidR="00600F88">
        <w:rPr>
          <w:rFonts w:ascii="Arial" w:hAnsi="Arial" w:cs="Arial"/>
          <w:szCs w:val="24"/>
        </w:rPr>
        <w:t>(end double underline)</w:t>
      </w:r>
    </w:p>
    <w:p w14:paraId="4C4D40C9" w14:textId="7B548D22" w:rsidR="00CC30BE" w:rsidRDefault="004A12C4" w:rsidP="00797217">
      <w:pPr>
        <w:spacing w:before="120" w:after="240"/>
        <w:rPr>
          <w:rFonts w:cs="Arial"/>
        </w:rPr>
      </w:pPr>
      <w:r w:rsidRPr="00C241EC">
        <w:rPr>
          <w:rStyle w:val="normaltextrun"/>
          <w:rFonts w:ascii="Arial" w:hAnsi="Arial" w:cs="Arial"/>
          <w:b/>
          <w:bCs/>
          <w:szCs w:val="24"/>
        </w:rPr>
        <w:t>Rationale</w:t>
      </w:r>
      <w:r w:rsidRPr="00C241EC">
        <w:rPr>
          <w:rStyle w:val="normaltextrun"/>
          <w:rFonts w:ascii="Arial" w:hAnsi="Arial" w:cs="Arial"/>
          <w:b/>
          <w:bCs/>
        </w:rPr>
        <w:t>:</w:t>
      </w:r>
      <w:r w:rsidRPr="00C241EC">
        <w:rPr>
          <w:rStyle w:val="normaltextrun"/>
          <w:rFonts w:ascii="Arial" w:hAnsi="Arial" w:cs="Arial"/>
          <w:szCs w:val="24"/>
        </w:rPr>
        <w:t> HCD proposes changes to this section to reflect renumbering of other sections addressing technical requirements for EV charging. This provides consistency in reference to other sections for </w:t>
      </w:r>
      <w:proofErr w:type="spellStart"/>
      <w:r w:rsidRPr="00C241EC">
        <w:rPr>
          <w:rStyle w:val="spellingerror"/>
          <w:rFonts w:ascii="Arial" w:hAnsi="Arial" w:cs="Arial"/>
          <w:szCs w:val="24"/>
        </w:rPr>
        <w:t>CALGreen</w:t>
      </w:r>
      <w:proofErr w:type="spellEnd"/>
      <w:r w:rsidRPr="00C241EC">
        <w:rPr>
          <w:rStyle w:val="normaltextrun"/>
          <w:rFonts w:ascii="Arial" w:hAnsi="Arial" w:cs="Arial"/>
          <w:szCs w:val="24"/>
        </w:rPr>
        <w:t>.</w:t>
      </w:r>
    </w:p>
    <w:p w14:paraId="2C41C77F" w14:textId="125086F2" w:rsidR="001601B3" w:rsidRDefault="001601B3" w:rsidP="00CC30BE"/>
    <w:p w14:paraId="3655A04C" w14:textId="0DF347CC" w:rsidR="00AF43C5" w:rsidRDefault="00AF43C5" w:rsidP="00CC30BE"/>
    <w:p w14:paraId="49161BD3" w14:textId="703648C3" w:rsidR="00AF43C5" w:rsidRDefault="00AF43C5" w:rsidP="00CC30BE"/>
    <w:p w14:paraId="6D925C3F" w14:textId="22E9BD06" w:rsidR="00AF43C5" w:rsidRDefault="00AF43C5" w:rsidP="00CC30BE"/>
    <w:p w14:paraId="7C054473" w14:textId="711FF599" w:rsidR="00AF43C5" w:rsidRDefault="00AF43C5" w:rsidP="00CC30BE"/>
    <w:p w14:paraId="721DD84E" w14:textId="7E000D90" w:rsidR="00AF43C5" w:rsidRDefault="00AF43C5" w:rsidP="00CC30BE"/>
    <w:p w14:paraId="6315366F" w14:textId="3FD63A88" w:rsidR="00AF43C5" w:rsidRDefault="00AF43C5" w:rsidP="00CC30BE"/>
    <w:p w14:paraId="18905710" w14:textId="77777777" w:rsidR="00AF43C5" w:rsidRPr="00CC30BE" w:rsidRDefault="00AF43C5" w:rsidP="00CC30BE"/>
    <w:p w14:paraId="0D7EA585" w14:textId="7A1DEFDB" w:rsidR="00A21200" w:rsidRPr="00C241EC" w:rsidRDefault="00504E1B" w:rsidP="00C241EC">
      <w:pPr>
        <w:pStyle w:val="Heading1"/>
        <w:spacing w:after="0"/>
        <w:rPr>
          <w:rFonts w:eastAsia="Calibri" w:cs="Arial"/>
          <w:bCs/>
          <w:u w:val="single"/>
        </w:rPr>
      </w:pPr>
      <w:r w:rsidRPr="00C241EC">
        <w:rPr>
          <w:rFonts w:cs="Arial"/>
        </w:rPr>
        <w:lastRenderedPageBreak/>
        <w:t xml:space="preserve">Item </w:t>
      </w:r>
      <w:r w:rsidRPr="00C241EC">
        <w:rPr>
          <w:rFonts w:cs="Arial"/>
          <w:noProof/>
        </w:rPr>
        <w:t xml:space="preserve">15 </w:t>
      </w:r>
      <w:r w:rsidR="00CF6D11">
        <w:rPr>
          <w:rFonts w:cs="Arial"/>
          <w:noProof/>
        </w:rPr>
        <w:br/>
      </w:r>
      <w:r w:rsidRPr="00C241EC">
        <w:rPr>
          <w:rFonts w:cs="Arial"/>
        </w:rPr>
        <w:t>Appendix A4 Residential Voluntary Measures</w:t>
      </w:r>
      <w:r w:rsidRPr="00C241EC">
        <w:rPr>
          <w:rFonts w:cs="Arial"/>
          <w:noProof/>
        </w:rPr>
        <w:t xml:space="preserve">, </w:t>
      </w:r>
      <w:r w:rsidRPr="00C241EC">
        <w:rPr>
          <w:rFonts w:cs="Arial"/>
        </w:rPr>
        <w:t>Division A</w:t>
      </w:r>
      <w:r w:rsidRPr="00C241EC">
        <w:rPr>
          <w:rFonts w:cs="Arial"/>
          <w:bCs/>
          <w:snapToGrid/>
        </w:rPr>
        <w:t>4.6 Tier 1 and Tier 2</w:t>
      </w:r>
    </w:p>
    <w:p w14:paraId="3707071A" w14:textId="60580819" w:rsidR="006B5677" w:rsidRPr="00C241EC" w:rsidRDefault="006B5677" w:rsidP="00C241EC">
      <w:pPr>
        <w:jc w:val="center"/>
        <w:rPr>
          <w:rFonts w:ascii="Arial" w:eastAsia="Calibri" w:hAnsi="Arial" w:cs="Arial"/>
          <w:b/>
          <w:bCs/>
        </w:rPr>
      </w:pPr>
      <w:r w:rsidRPr="00C241EC">
        <w:rPr>
          <w:rFonts w:ascii="Arial" w:eastAsia="Calibri" w:hAnsi="Arial" w:cs="Arial"/>
          <w:b/>
          <w:bCs/>
        </w:rPr>
        <w:t>SECTION A4.602</w:t>
      </w:r>
    </w:p>
    <w:p w14:paraId="23A852AE" w14:textId="77777777" w:rsidR="006B5677" w:rsidRPr="00C241EC" w:rsidRDefault="006B5677" w:rsidP="006B5677">
      <w:pPr>
        <w:jc w:val="center"/>
        <w:rPr>
          <w:rFonts w:ascii="Arial" w:eastAsia="Calibri" w:hAnsi="Arial" w:cs="Arial"/>
          <w:b/>
          <w:bCs/>
        </w:rPr>
      </w:pPr>
      <w:r w:rsidRPr="00C241EC">
        <w:rPr>
          <w:rFonts w:ascii="Arial" w:eastAsia="Calibri" w:hAnsi="Arial" w:cs="Arial"/>
          <w:b/>
          <w:bCs/>
        </w:rPr>
        <w:t>RESIDENTIAL OCCUPANCIES APPLICATION CHECKLIST</w:t>
      </w:r>
    </w:p>
    <w:p w14:paraId="0B7895B6" w14:textId="77777777" w:rsidR="006B5677" w:rsidRPr="00C241EC" w:rsidRDefault="006B5677" w:rsidP="00C241EC">
      <w:pPr>
        <w:jc w:val="center"/>
        <w:rPr>
          <w:rFonts w:ascii="Arial" w:eastAsia="Calibri" w:hAnsi="Arial" w:cs="Arial"/>
          <w:b/>
          <w:bCs/>
          <w:i/>
          <w:iCs/>
          <w:u w:val="single"/>
        </w:rPr>
      </w:pPr>
      <w:r w:rsidRPr="00C241EC">
        <w:rPr>
          <w:rFonts w:ascii="Arial" w:eastAsia="Calibri" w:hAnsi="Arial" w:cs="Arial"/>
          <w:b/>
          <w:bCs/>
        </w:rPr>
        <w:t xml:space="preserve">Effective January 1, </w:t>
      </w:r>
      <w:r w:rsidRPr="00C241EC">
        <w:rPr>
          <w:rFonts w:ascii="Arial" w:eastAsia="Calibri" w:hAnsi="Arial" w:cs="Arial"/>
          <w:b/>
          <w:bCs/>
          <w:strike/>
        </w:rPr>
        <w:t>2020</w:t>
      </w:r>
      <w:r w:rsidRPr="00C241EC">
        <w:rPr>
          <w:rFonts w:ascii="Arial" w:eastAsia="Calibri" w:hAnsi="Arial" w:cs="Arial"/>
          <w:b/>
          <w:bCs/>
        </w:rPr>
        <w:t xml:space="preserve"> </w:t>
      </w:r>
      <w:r w:rsidRPr="00C241EC">
        <w:rPr>
          <w:rFonts w:ascii="Arial" w:eastAsia="Calibri" w:hAnsi="Arial" w:cs="Arial"/>
          <w:b/>
          <w:bCs/>
          <w:i/>
          <w:iCs/>
          <w:u w:val="single"/>
        </w:rPr>
        <w:t>2023</w:t>
      </w:r>
    </w:p>
    <w:p w14:paraId="2522F3AF" w14:textId="77777777" w:rsidR="00D0669F" w:rsidRDefault="006B5677" w:rsidP="00D0669F">
      <w:pPr>
        <w:widowControl/>
        <w:autoSpaceDE w:val="0"/>
        <w:autoSpaceDN w:val="0"/>
        <w:adjustRightInd w:val="0"/>
        <w:ind w:left="1080" w:hanging="360"/>
        <w:jc w:val="center"/>
        <w:rPr>
          <w:rFonts w:ascii="Arial" w:hAnsi="Arial" w:cs="Arial"/>
          <w:b/>
          <w:bCs/>
          <w:color w:val="000000" w:themeColor="text1"/>
          <w:sz w:val="18"/>
          <w:szCs w:val="18"/>
        </w:rPr>
      </w:pPr>
      <w:r w:rsidRPr="00C241EC">
        <w:rPr>
          <w:rFonts w:ascii="Arial" w:hAnsi="Arial" w:cs="Arial"/>
          <w:b/>
          <w:bCs/>
          <w:color w:val="000000" w:themeColor="text1"/>
          <w:sz w:val="18"/>
          <w:szCs w:val="18"/>
        </w:rPr>
        <w:t>RESIDENTIAL OCCUPANCIES APPLICATION CHECKLIST</w:t>
      </w:r>
    </w:p>
    <w:p w14:paraId="11CF441D" w14:textId="77777777" w:rsidR="00D0669F" w:rsidRDefault="00D0669F" w:rsidP="00D0669F">
      <w:pPr>
        <w:widowControl/>
        <w:autoSpaceDE w:val="0"/>
        <w:autoSpaceDN w:val="0"/>
        <w:adjustRightInd w:val="0"/>
        <w:ind w:left="1080" w:hanging="360"/>
        <w:rPr>
          <w:rFonts w:ascii="Arial" w:hAnsi="Arial" w:cs="Arial"/>
          <w:color w:val="000000" w:themeColor="text1"/>
        </w:rPr>
      </w:pPr>
    </w:p>
    <w:p w14:paraId="72E73E3C" w14:textId="6AABD740" w:rsidR="002E601B" w:rsidRPr="00D0669F" w:rsidRDefault="006B5677" w:rsidP="00D0669F">
      <w:r w:rsidRPr="00D0669F">
        <w:t>No changes to the proposed 45-day text unless indicated below in double</w:t>
      </w:r>
      <w:r w:rsidR="00D0669F" w:rsidRPr="00D0669F">
        <w:t xml:space="preserve"> </w:t>
      </w:r>
      <w:r w:rsidRPr="00D0669F">
        <w:t>underline and double strikeout.</w:t>
      </w:r>
    </w:p>
    <w:p w14:paraId="572BD6EE" w14:textId="77777777" w:rsidR="00D0669F" w:rsidRDefault="008920B7" w:rsidP="002E601B">
      <w:pPr>
        <w:spacing w:before="240"/>
        <w:rPr>
          <w:rFonts w:ascii="Arial" w:hAnsi="Arial" w:cs="Arial"/>
          <w:b/>
          <w:szCs w:val="24"/>
        </w:rPr>
      </w:pPr>
      <w:r>
        <w:rPr>
          <w:noProof/>
        </w:rPr>
        <w:drawing>
          <wp:inline distT="0" distB="0" distL="0" distR="0" wp14:anchorId="640FCFD9" wp14:editId="4B5ECCA0">
            <wp:extent cx="5114925" cy="6149316"/>
            <wp:effectExtent l="0" t="0" r="0" b="0"/>
            <wp:docPr id="1" name="Picture 1" descr="Figure below depicts residential occupancies application checklist and indicates 4.106.4 has mandatory provisions to provide capability for EV charging for specified residential dwellings. A4.106.8 has voluntary EV charging standards for residential dwellings. Changes in text proposed for the 15-day comment period reflects renumbering of Section 4.106.4.2.3 to 4.106.4.3 related to EV charging for existing parking lots or new parking lots. Double strikeout of numbers 4.2.2 and double underline of numbers 4.3, respectively.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below depicts residential occupancies application checklist and indicates 4.106.4 has mandatory provisions to provide capability for EV charging for specified residential dwellings. A4.106.8 has voluntary EV charging standards for residential dwellings. Changes in text proposed for the 15-day comment period reflects renumbering of Section 4.106.4.2.3 to 4.106.4.3 related to EV charging for existing parking lots or new parking lots. Double strikeout of numbers 4.2.2 and double underline of numbers 4.3, respectively.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2500" cy="6170445"/>
                    </a:xfrm>
                    <a:prstGeom prst="rect">
                      <a:avLst/>
                    </a:prstGeom>
                    <a:noFill/>
                    <a:ln>
                      <a:noFill/>
                    </a:ln>
                  </pic:spPr>
                </pic:pic>
              </a:graphicData>
            </a:graphic>
          </wp:inline>
        </w:drawing>
      </w:r>
    </w:p>
    <w:p w14:paraId="43DED5FB" w14:textId="315AC0BD" w:rsidR="00504E1B" w:rsidRPr="003B40C0" w:rsidRDefault="00504E1B" w:rsidP="00D0669F">
      <w:pPr>
        <w:spacing w:before="120"/>
        <w:rPr>
          <w:rFonts w:ascii="Arial" w:hAnsi="Arial" w:cs="Arial"/>
          <w:szCs w:val="24"/>
        </w:rPr>
      </w:pPr>
      <w:r w:rsidRPr="003B40C0">
        <w:rPr>
          <w:rFonts w:ascii="Arial" w:hAnsi="Arial" w:cs="Arial"/>
          <w:b/>
          <w:szCs w:val="24"/>
        </w:rPr>
        <w:t>Notation:</w:t>
      </w:r>
    </w:p>
    <w:p w14:paraId="56C3E702" w14:textId="77777777" w:rsidR="00504E1B" w:rsidRPr="003B40C0" w:rsidRDefault="00504E1B" w:rsidP="00EE0175">
      <w:pPr>
        <w:spacing w:before="120" w:after="120"/>
        <w:rPr>
          <w:rFonts w:ascii="Arial" w:hAnsi="Arial" w:cs="Arial"/>
          <w:szCs w:val="24"/>
        </w:rPr>
      </w:pPr>
      <w:r w:rsidRPr="003B40C0">
        <w:rPr>
          <w:rFonts w:ascii="Arial" w:hAnsi="Arial" w:cs="Arial"/>
          <w:szCs w:val="24"/>
        </w:rPr>
        <w:t xml:space="preserve">Authority: Health and Safety Code Sections 17040, 17920.9, 17921, 17921.5, 17921.10, 17922, 17922.12, 17922.14, 17928, 18938.3, 18941.10, 18944.11, and 19990; and </w:t>
      </w:r>
      <w:r w:rsidRPr="003B40C0">
        <w:rPr>
          <w:rFonts w:ascii="Arial" w:hAnsi="Arial" w:cs="Arial"/>
          <w:szCs w:val="24"/>
        </w:rPr>
        <w:lastRenderedPageBreak/>
        <w:t>Government Code Sections 12955.1 and 12955.1.1.</w:t>
      </w:r>
    </w:p>
    <w:p w14:paraId="348215FD" w14:textId="439234F2" w:rsidR="00504E1B" w:rsidRDefault="00504E1B" w:rsidP="00D0669F">
      <w:pPr>
        <w:spacing w:before="120" w:after="120"/>
        <w:rPr>
          <w:rFonts w:ascii="Arial" w:hAnsi="Arial" w:cs="Arial"/>
          <w:szCs w:val="24"/>
        </w:rPr>
      </w:pPr>
      <w:r w:rsidRPr="003B40C0">
        <w:rPr>
          <w:rFonts w:ascii="Arial" w:hAnsi="Arial" w:cs="Arial"/>
          <w:szCs w:val="24"/>
        </w:rPr>
        <w:t>Reference(s):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sectPr w:rsidR="00504E1B" w:rsidSect="007C04EF">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CDE8" w14:textId="77777777" w:rsidR="00723E34" w:rsidRDefault="00723E34">
      <w:r>
        <w:separator/>
      </w:r>
    </w:p>
  </w:endnote>
  <w:endnote w:type="continuationSeparator" w:id="0">
    <w:p w14:paraId="43E076D5" w14:textId="77777777" w:rsidR="00723E34" w:rsidRDefault="00723E34">
      <w:r>
        <w:continuationSeparator/>
      </w:r>
    </w:p>
  </w:endnote>
  <w:endnote w:type="continuationNotice" w:id="1">
    <w:p w14:paraId="2B5913DF" w14:textId="77777777" w:rsidR="00723E34" w:rsidRDefault="00723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F408650" w14:textId="43ECA11A" w:rsidR="000F3C75" w:rsidRPr="004D155B" w:rsidRDefault="000F3C75" w:rsidP="000F3C75">
    <w:pPr>
      <w:pStyle w:val="Footer"/>
      <w:tabs>
        <w:tab w:val="clear" w:pos="4320"/>
        <w:tab w:val="clear" w:pos="8640"/>
        <w:tab w:val="right" w:pos="9180"/>
      </w:tabs>
      <w:rPr>
        <w:sz w:val="16"/>
      </w:rPr>
    </w:pPr>
    <w:r w:rsidRPr="004D155B">
      <w:rPr>
        <w:sz w:val="16"/>
      </w:rPr>
      <w:t xml:space="preserve">BSC TP-104 (Rev. 10/20) Additional </w:t>
    </w:r>
    <w:r w:rsidRPr="004D155B">
      <w:rPr>
        <w:sz w:val="16"/>
        <w:shd w:val="clear" w:color="auto" w:fill="D9D9D9" w:themeFill="background1" w:themeFillShade="D9"/>
      </w:rPr>
      <w:t>15</w:t>
    </w:r>
    <w:r w:rsidRPr="004D155B">
      <w:rPr>
        <w:sz w:val="16"/>
      </w:rPr>
      <w:t>-Day Express Terms</w:t>
    </w:r>
    <w:r w:rsidRPr="004D155B">
      <w:rPr>
        <w:sz w:val="16"/>
      </w:rPr>
      <w:tab/>
    </w:r>
    <w:r w:rsidRPr="004D155B">
      <w:rPr>
        <w:sz w:val="16"/>
        <w:shd w:val="clear" w:color="auto" w:fill="D9D9D9" w:themeFill="background1" w:themeFillShade="D9"/>
      </w:rPr>
      <w:t xml:space="preserve">October </w:t>
    </w:r>
    <w:r w:rsidR="00A34DD1">
      <w:rPr>
        <w:sz w:val="16"/>
        <w:shd w:val="clear" w:color="auto" w:fill="D9D9D9" w:themeFill="background1" w:themeFillShade="D9"/>
      </w:rPr>
      <w:t>11</w:t>
    </w:r>
    <w:r w:rsidRPr="004D155B">
      <w:rPr>
        <w:sz w:val="16"/>
        <w:shd w:val="clear" w:color="auto" w:fill="D9D9D9" w:themeFill="background1" w:themeFillShade="D9"/>
      </w:rPr>
      <w:t>, 2021</w:t>
    </w:r>
  </w:p>
  <w:p w14:paraId="196D9BC2" w14:textId="768C1F8B" w:rsidR="000F3C75" w:rsidRPr="004D155B" w:rsidRDefault="000F3C75" w:rsidP="000F3C75">
    <w:pPr>
      <w:pStyle w:val="Footer"/>
      <w:tabs>
        <w:tab w:val="clear" w:pos="4320"/>
        <w:tab w:val="clear" w:pos="8640"/>
        <w:tab w:val="center" w:pos="5040"/>
        <w:tab w:val="right" w:pos="9180"/>
      </w:tabs>
      <w:rPr>
        <w:rFonts w:ascii="Arial" w:hAnsi="Arial"/>
        <w:sz w:val="16"/>
        <w:szCs w:val="16"/>
      </w:rPr>
    </w:pPr>
    <w:r w:rsidRPr="004D155B">
      <w:rPr>
        <w:rFonts w:ascii="Arial" w:hAnsi="Arial"/>
        <w:sz w:val="16"/>
        <w:szCs w:val="16"/>
      </w:rPr>
      <w:t xml:space="preserve">Rulemaking File </w:t>
    </w:r>
    <w:r w:rsidRPr="004D155B">
      <w:rPr>
        <w:rFonts w:ascii="Arial" w:hAnsi="Arial"/>
        <w:sz w:val="16"/>
        <w:szCs w:val="16"/>
        <w:shd w:val="clear" w:color="auto" w:fill="D9D9D9" w:themeFill="background1" w:themeFillShade="D9"/>
      </w:rPr>
      <w:t>03/21</w:t>
    </w:r>
    <w:r w:rsidRPr="004D155B">
      <w:rPr>
        <w:rFonts w:ascii="Arial" w:hAnsi="Arial"/>
        <w:sz w:val="16"/>
        <w:szCs w:val="16"/>
      </w:rPr>
      <w:t xml:space="preserve"> - Part - 2021 T</w:t>
    </w:r>
    <w:r w:rsidRPr="004D155B">
      <w:rPr>
        <w:rFonts w:ascii="Arial" w:hAnsi="Arial"/>
        <w:sz w:val="16"/>
        <w:szCs w:val="16"/>
        <w:shd w:val="clear" w:color="auto" w:fill="D9D9D9" w:themeFill="background1" w:themeFillShade="D9"/>
      </w:rPr>
      <w:t xml:space="preserve">riennial </w:t>
    </w:r>
    <w:r w:rsidRPr="004D155B">
      <w:rPr>
        <w:rFonts w:ascii="Arial" w:hAnsi="Arial"/>
        <w:sz w:val="16"/>
        <w:szCs w:val="16"/>
      </w:rPr>
      <w:t>Code Cycle</w:t>
    </w:r>
    <w:r w:rsidRPr="004D155B">
      <w:rPr>
        <w:rFonts w:ascii="Arial" w:hAnsi="Arial"/>
        <w:sz w:val="16"/>
        <w:szCs w:val="16"/>
      </w:rPr>
      <w:tab/>
    </w:r>
    <w:r w:rsidRPr="004D155B">
      <w:rPr>
        <w:rFonts w:ascii="Arial" w:hAnsi="Arial"/>
        <w:sz w:val="16"/>
        <w:szCs w:val="16"/>
      </w:rPr>
      <w:tab/>
    </w:r>
    <w:r w:rsidR="004D155B">
      <w:rPr>
        <w:rFonts w:ascii="Arial" w:hAnsi="Arial"/>
        <w:sz w:val="16"/>
        <w:szCs w:val="16"/>
        <w:shd w:val="clear" w:color="auto" w:fill="D9D9D9" w:themeFill="background1" w:themeFillShade="D9"/>
      </w:rPr>
      <w:t>HCD 03-21-Pt11-15day ET-ACC</w:t>
    </w:r>
  </w:p>
  <w:p w14:paraId="1CFD1C26" w14:textId="77777777" w:rsidR="000F3C75" w:rsidRDefault="000F3C75" w:rsidP="000F3C75">
    <w:pPr>
      <w:pStyle w:val="Footer"/>
      <w:tabs>
        <w:tab w:val="clear" w:pos="4320"/>
        <w:tab w:val="clear" w:pos="8640"/>
        <w:tab w:val="center" w:pos="4896"/>
        <w:tab w:val="right" w:pos="9180"/>
      </w:tabs>
      <w:rPr>
        <w:sz w:val="16"/>
      </w:rPr>
    </w:pPr>
    <w:r w:rsidRPr="004D155B">
      <w:rPr>
        <w:sz w:val="16"/>
        <w:shd w:val="clear" w:color="auto" w:fill="D9D9D9" w:themeFill="background1" w:themeFillShade="D9"/>
      </w:rPr>
      <w:t>Department of Housing and Community Development</w:t>
    </w:r>
    <w:r>
      <w:rPr>
        <w:sz w:val="16"/>
      </w:rPr>
      <w:tab/>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8</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C49C" w14:textId="77777777" w:rsidR="00723E34" w:rsidRDefault="00723E34">
      <w:r>
        <w:separator/>
      </w:r>
    </w:p>
  </w:footnote>
  <w:footnote w:type="continuationSeparator" w:id="0">
    <w:p w14:paraId="521346F3" w14:textId="77777777" w:rsidR="00723E34" w:rsidRDefault="00723E34">
      <w:r>
        <w:continuationSeparator/>
      </w:r>
    </w:p>
  </w:footnote>
  <w:footnote w:type="continuationNotice" w:id="1">
    <w:p w14:paraId="332F4B71" w14:textId="77777777" w:rsidR="00723E34" w:rsidRDefault="00723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85A"/>
    <w:multiLevelType w:val="hybridMultilevel"/>
    <w:tmpl w:val="4CEC6A28"/>
    <w:lvl w:ilvl="0" w:tplc="F946A9B0">
      <w:start w:val="1"/>
      <w:numFmt w:val="decimal"/>
      <w:lvlText w:val="%1."/>
      <w:lvlJc w:val="left"/>
      <w:pPr>
        <w:ind w:left="1080" w:hanging="360"/>
      </w:pPr>
      <w:rPr>
        <w:u w:val="singl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D63B05"/>
    <w:multiLevelType w:val="hybridMultilevel"/>
    <w:tmpl w:val="3B4AD3EC"/>
    <w:lvl w:ilvl="0" w:tplc="98F228A0">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90712E"/>
    <w:multiLevelType w:val="hybridMultilevel"/>
    <w:tmpl w:val="4CEC6A28"/>
    <w:lvl w:ilvl="0" w:tplc="F946A9B0">
      <w:start w:val="1"/>
      <w:numFmt w:val="decimal"/>
      <w:lvlText w:val="%1."/>
      <w:lvlJc w:val="left"/>
      <w:pPr>
        <w:ind w:left="1080" w:hanging="360"/>
      </w:pPr>
      <w:rPr>
        <w:u w:val="singl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081AE6"/>
    <w:multiLevelType w:val="hybridMultilevel"/>
    <w:tmpl w:val="72A2254E"/>
    <w:lvl w:ilvl="0" w:tplc="C2A0EEFA">
      <w:start w:val="3"/>
      <w:numFmt w:val="decimal"/>
      <w:lvlText w:val="%1."/>
      <w:lvlJc w:val="left"/>
      <w:pPr>
        <w:ind w:left="1080" w:hanging="360"/>
      </w:pPr>
      <w:rPr>
        <w:rFonts w:hint="default"/>
      </w:rPr>
    </w:lvl>
    <w:lvl w:ilvl="1" w:tplc="0409000F">
      <w:start w:val="1"/>
      <w:numFmt w:val="decimal"/>
      <w:lvlText w:val="%2."/>
      <w:lvlJc w:val="left"/>
      <w:pPr>
        <w:ind w:left="1080" w:hanging="360"/>
      </w:pPr>
    </w:lvl>
    <w:lvl w:ilvl="2" w:tplc="2E06212C">
      <w:start w:val="1"/>
      <w:numFmt w:val="decimal"/>
      <w:lvlText w:val="%3."/>
      <w:lvlJc w:val="left"/>
      <w:pPr>
        <w:ind w:left="2520" w:hanging="180"/>
      </w:pPr>
      <w:rPr>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7664D"/>
    <w:multiLevelType w:val="hybridMultilevel"/>
    <w:tmpl w:val="C8921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3"/>
  </w:num>
  <w:num w:numId="5">
    <w:abstractNumId w:val="6"/>
  </w:num>
  <w:num w:numId="6">
    <w:abstractNumId w:val="10"/>
  </w:num>
  <w:num w:numId="7">
    <w:abstractNumId w:val="1"/>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C87"/>
    <w:rsid w:val="000141E5"/>
    <w:rsid w:val="00021208"/>
    <w:rsid w:val="00023B9A"/>
    <w:rsid w:val="000257AD"/>
    <w:rsid w:val="00042C55"/>
    <w:rsid w:val="00083F4C"/>
    <w:rsid w:val="000938BE"/>
    <w:rsid w:val="000B33E0"/>
    <w:rsid w:val="000C0C83"/>
    <w:rsid w:val="000C5682"/>
    <w:rsid w:val="000E24B4"/>
    <w:rsid w:val="000F2EEE"/>
    <w:rsid w:val="000F3C75"/>
    <w:rsid w:val="000F616D"/>
    <w:rsid w:val="000F6D3A"/>
    <w:rsid w:val="000F78CA"/>
    <w:rsid w:val="001146E3"/>
    <w:rsid w:val="00123F82"/>
    <w:rsid w:val="001362F4"/>
    <w:rsid w:val="00150600"/>
    <w:rsid w:val="00156F04"/>
    <w:rsid w:val="001601B3"/>
    <w:rsid w:val="001672EF"/>
    <w:rsid w:val="0017531B"/>
    <w:rsid w:val="00175449"/>
    <w:rsid w:val="001845B6"/>
    <w:rsid w:val="001A10D8"/>
    <w:rsid w:val="001A1A14"/>
    <w:rsid w:val="001A2626"/>
    <w:rsid w:val="001A4A03"/>
    <w:rsid w:val="001B0E66"/>
    <w:rsid w:val="001B72F9"/>
    <w:rsid w:val="001C75C8"/>
    <w:rsid w:val="001D0FF3"/>
    <w:rsid w:val="001D5566"/>
    <w:rsid w:val="001D6710"/>
    <w:rsid w:val="001E635B"/>
    <w:rsid w:val="00234A84"/>
    <w:rsid w:val="00235B37"/>
    <w:rsid w:val="002367DC"/>
    <w:rsid w:val="00246F13"/>
    <w:rsid w:val="00271D74"/>
    <w:rsid w:val="0027768B"/>
    <w:rsid w:val="002A0905"/>
    <w:rsid w:val="002D3F86"/>
    <w:rsid w:val="002D5E4A"/>
    <w:rsid w:val="002E601B"/>
    <w:rsid w:val="00306193"/>
    <w:rsid w:val="0030639B"/>
    <w:rsid w:val="0032353F"/>
    <w:rsid w:val="00331858"/>
    <w:rsid w:val="003324BE"/>
    <w:rsid w:val="003412C7"/>
    <w:rsid w:val="00343702"/>
    <w:rsid w:val="0037506B"/>
    <w:rsid w:val="00391B17"/>
    <w:rsid w:val="003942B6"/>
    <w:rsid w:val="003A0552"/>
    <w:rsid w:val="003B1C7E"/>
    <w:rsid w:val="003B40C0"/>
    <w:rsid w:val="003D0C6D"/>
    <w:rsid w:val="003D46A3"/>
    <w:rsid w:val="003E1AB0"/>
    <w:rsid w:val="00400F32"/>
    <w:rsid w:val="00430F59"/>
    <w:rsid w:val="00433E49"/>
    <w:rsid w:val="0044593B"/>
    <w:rsid w:val="004703FB"/>
    <w:rsid w:val="004733BE"/>
    <w:rsid w:val="004A12C4"/>
    <w:rsid w:val="004B2AB9"/>
    <w:rsid w:val="004B2B87"/>
    <w:rsid w:val="004B48D5"/>
    <w:rsid w:val="004C48A0"/>
    <w:rsid w:val="004D155B"/>
    <w:rsid w:val="004E6C95"/>
    <w:rsid w:val="004F6937"/>
    <w:rsid w:val="00504E1B"/>
    <w:rsid w:val="00505F5F"/>
    <w:rsid w:val="005171BA"/>
    <w:rsid w:val="00554E41"/>
    <w:rsid w:val="00563190"/>
    <w:rsid w:val="0059635A"/>
    <w:rsid w:val="00597953"/>
    <w:rsid w:val="005A335C"/>
    <w:rsid w:val="005B5184"/>
    <w:rsid w:val="005D2DCC"/>
    <w:rsid w:val="005D6FB4"/>
    <w:rsid w:val="005E162F"/>
    <w:rsid w:val="005E4DF4"/>
    <w:rsid w:val="005E558E"/>
    <w:rsid w:val="005F1F14"/>
    <w:rsid w:val="005F696F"/>
    <w:rsid w:val="0060046F"/>
    <w:rsid w:val="00600F88"/>
    <w:rsid w:val="0061175B"/>
    <w:rsid w:val="006156F2"/>
    <w:rsid w:val="006169B9"/>
    <w:rsid w:val="00630A54"/>
    <w:rsid w:val="00631F79"/>
    <w:rsid w:val="0063342E"/>
    <w:rsid w:val="00651380"/>
    <w:rsid w:val="00653A3C"/>
    <w:rsid w:val="006721FC"/>
    <w:rsid w:val="00675E1D"/>
    <w:rsid w:val="00697E8C"/>
    <w:rsid w:val="006B2623"/>
    <w:rsid w:val="006B2ED4"/>
    <w:rsid w:val="006B5677"/>
    <w:rsid w:val="006B747C"/>
    <w:rsid w:val="006E1BBD"/>
    <w:rsid w:val="006F0AFF"/>
    <w:rsid w:val="006F6A67"/>
    <w:rsid w:val="00723E34"/>
    <w:rsid w:val="00724054"/>
    <w:rsid w:val="00732D12"/>
    <w:rsid w:val="0076018C"/>
    <w:rsid w:val="007627C7"/>
    <w:rsid w:val="00767766"/>
    <w:rsid w:val="00773F86"/>
    <w:rsid w:val="00776FA8"/>
    <w:rsid w:val="00786248"/>
    <w:rsid w:val="00790E11"/>
    <w:rsid w:val="007915D5"/>
    <w:rsid w:val="00792F29"/>
    <w:rsid w:val="00797217"/>
    <w:rsid w:val="007A674B"/>
    <w:rsid w:val="007C04EF"/>
    <w:rsid w:val="007C2F94"/>
    <w:rsid w:val="007C4832"/>
    <w:rsid w:val="007E1076"/>
    <w:rsid w:val="007E6A6C"/>
    <w:rsid w:val="007E7BA3"/>
    <w:rsid w:val="0081299A"/>
    <w:rsid w:val="00835C2E"/>
    <w:rsid w:val="00840C31"/>
    <w:rsid w:val="00855746"/>
    <w:rsid w:val="00862625"/>
    <w:rsid w:val="00862A41"/>
    <w:rsid w:val="00874876"/>
    <w:rsid w:val="00877329"/>
    <w:rsid w:val="008920B7"/>
    <w:rsid w:val="008A2AC5"/>
    <w:rsid w:val="008A3DD5"/>
    <w:rsid w:val="008A63C7"/>
    <w:rsid w:val="008E36A8"/>
    <w:rsid w:val="00923E68"/>
    <w:rsid w:val="00924593"/>
    <w:rsid w:val="00926738"/>
    <w:rsid w:val="0092735E"/>
    <w:rsid w:val="00933897"/>
    <w:rsid w:val="009462E9"/>
    <w:rsid w:val="00964204"/>
    <w:rsid w:val="009672FD"/>
    <w:rsid w:val="00992B29"/>
    <w:rsid w:val="00995899"/>
    <w:rsid w:val="009A337A"/>
    <w:rsid w:val="009A3D7B"/>
    <w:rsid w:val="009A693A"/>
    <w:rsid w:val="009C3014"/>
    <w:rsid w:val="009D10AD"/>
    <w:rsid w:val="009D295B"/>
    <w:rsid w:val="009E0E79"/>
    <w:rsid w:val="009E6B12"/>
    <w:rsid w:val="00A07EE6"/>
    <w:rsid w:val="00A138AA"/>
    <w:rsid w:val="00A142B0"/>
    <w:rsid w:val="00A21200"/>
    <w:rsid w:val="00A34DD1"/>
    <w:rsid w:val="00A53965"/>
    <w:rsid w:val="00A5608E"/>
    <w:rsid w:val="00A60CA1"/>
    <w:rsid w:val="00A63EF9"/>
    <w:rsid w:val="00A76337"/>
    <w:rsid w:val="00A813A1"/>
    <w:rsid w:val="00AB0C40"/>
    <w:rsid w:val="00AC1F10"/>
    <w:rsid w:val="00AD1451"/>
    <w:rsid w:val="00AD607F"/>
    <w:rsid w:val="00AF43C5"/>
    <w:rsid w:val="00AF4D10"/>
    <w:rsid w:val="00AF4E96"/>
    <w:rsid w:val="00B12576"/>
    <w:rsid w:val="00B2144B"/>
    <w:rsid w:val="00B435D5"/>
    <w:rsid w:val="00B53533"/>
    <w:rsid w:val="00B53C67"/>
    <w:rsid w:val="00B5506E"/>
    <w:rsid w:val="00B81E1C"/>
    <w:rsid w:val="00BB4C15"/>
    <w:rsid w:val="00BF3E81"/>
    <w:rsid w:val="00C241EC"/>
    <w:rsid w:val="00C26B2C"/>
    <w:rsid w:val="00C36475"/>
    <w:rsid w:val="00C44C36"/>
    <w:rsid w:val="00C6643B"/>
    <w:rsid w:val="00C67B72"/>
    <w:rsid w:val="00C81700"/>
    <w:rsid w:val="00C928B4"/>
    <w:rsid w:val="00CB69CE"/>
    <w:rsid w:val="00CC30BE"/>
    <w:rsid w:val="00CF2161"/>
    <w:rsid w:val="00CF3372"/>
    <w:rsid w:val="00CF6D11"/>
    <w:rsid w:val="00D04B58"/>
    <w:rsid w:val="00D054EE"/>
    <w:rsid w:val="00D0669F"/>
    <w:rsid w:val="00D13D82"/>
    <w:rsid w:val="00D25328"/>
    <w:rsid w:val="00D25E10"/>
    <w:rsid w:val="00D30882"/>
    <w:rsid w:val="00D35FA1"/>
    <w:rsid w:val="00D52395"/>
    <w:rsid w:val="00D67CC8"/>
    <w:rsid w:val="00D91AE2"/>
    <w:rsid w:val="00DB2E73"/>
    <w:rsid w:val="00DD1947"/>
    <w:rsid w:val="00DD2C61"/>
    <w:rsid w:val="00E016BA"/>
    <w:rsid w:val="00E10F17"/>
    <w:rsid w:val="00E1663D"/>
    <w:rsid w:val="00E21588"/>
    <w:rsid w:val="00E22041"/>
    <w:rsid w:val="00E3628E"/>
    <w:rsid w:val="00E3790F"/>
    <w:rsid w:val="00E45D23"/>
    <w:rsid w:val="00E50E51"/>
    <w:rsid w:val="00E5214A"/>
    <w:rsid w:val="00E53D35"/>
    <w:rsid w:val="00E560B9"/>
    <w:rsid w:val="00E560C2"/>
    <w:rsid w:val="00EA1267"/>
    <w:rsid w:val="00EA55B4"/>
    <w:rsid w:val="00EC0A76"/>
    <w:rsid w:val="00EC1406"/>
    <w:rsid w:val="00ED27E1"/>
    <w:rsid w:val="00ED36CF"/>
    <w:rsid w:val="00EE0175"/>
    <w:rsid w:val="00EF26E2"/>
    <w:rsid w:val="00F152F2"/>
    <w:rsid w:val="00F1683C"/>
    <w:rsid w:val="00F17139"/>
    <w:rsid w:val="00F22CD9"/>
    <w:rsid w:val="00F410BB"/>
    <w:rsid w:val="00F4318B"/>
    <w:rsid w:val="00F57CDF"/>
    <w:rsid w:val="00F74129"/>
    <w:rsid w:val="00F768B4"/>
    <w:rsid w:val="00F87B9E"/>
    <w:rsid w:val="00F97C83"/>
    <w:rsid w:val="00FA2131"/>
    <w:rsid w:val="00FB30CF"/>
    <w:rsid w:val="00FB34BE"/>
    <w:rsid w:val="00FC5D4C"/>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78624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paragraph" w:customStyle="1" w:styleId="paragraph">
    <w:name w:val="paragraph"/>
    <w:basedOn w:val="Normal"/>
    <w:rsid w:val="001D0FF3"/>
    <w:pPr>
      <w:widowControl/>
    </w:pPr>
    <w:rPr>
      <w:rFonts w:ascii="Calibri" w:eastAsiaTheme="minorHAnsi" w:hAnsi="Calibri" w:cs="Calibri"/>
      <w:snapToGrid/>
      <w:sz w:val="22"/>
      <w:szCs w:val="22"/>
    </w:rPr>
  </w:style>
  <w:style w:type="character" w:customStyle="1" w:styleId="normaltextrun">
    <w:name w:val="normaltextrun"/>
    <w:basedOn w:val="DefaultParagraphFont"/>
    <w:rsid w:val="001D0FF3"/>
  </w:style>
  <w:style w:type="character" w:customStyle="1" w:styleId="spellingerror">
    <w:name w:val="spellingerror"/>
    <w:basedOn w:val="DefaultParagraphFont"/>
    <w:rsid w:val="001D0FF3"/>
  </w:style>
  <w:style w:type="character" w:customStyle="1" w:styleId="eop">
    <w:name w:val="eop"/>
    <w:basedOn w:val="DefaultParagraphFont"/>
    <w:rsid w:val="001D0FF3"/>
  </w:style>
  <w:style w:type="paragraph" w:styleId="Caption">
    <w:name w:val="caption"/>
    <w:basedOn w:val="Normal"/>
    <w:next w:val="Normal"/>
    <w:unhideWhenUsed/>
    <w:qFormat/>
    <w:rsid w:val="006B5677"/>
    <w:pPr>
      <w:widowControl/>
      <w:overflowPunct w:val="0"/>
      <w:autoSpaceDE w:val="0"/>
      <w:autoSpaceDN w:val="0"/>
      <w:adjustRightInd w:val="0"/>
    </w:pPr>
    <w:rPr>
      <w:rFonts w:ascii="Arial" w:hAnsi="Arial"/>
      <w:b/>
      <w:snapToGrid/>
      <w:sz w:val="20"/>
    </w:rPr>
  </w:style>
  <w:style w:type="character" w:styleId="Emphasis">
    <w:name w:val="Emphasis"/>
    <w:basedOn w:val="DefaultParagraphFont"/>
    <w:qFormat/>
    <w:rsid w:val="006B2E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759567982">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6" ma:contentTypeDescription="Create a new document." ma:contentTypeScope="" ma:versionID="84567176a82c3187e659af5a4cec376e">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0794e4e247c266fe5354eef0dde2a6e9"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C3FE-0F63-4313-8311-7FD293598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04C24-128D-475A-9F98-7791A05F1C0A}">
  <ds:schemaRefs>
    <ds:schemaRef ds:uri="http://schemas.microsoft.com/sharepoint/v3/contenttype/forms"/>
  </ds:schemaRefs>
</ds:datastoreItem>
</file>

<file path=customXml/itemProps3.xml><?xml version="1.0" encoding="utf-8"?>
<ds:datastoreItem xmlns:ds="http://schemas.openxmlformats.org/officeDocument/2006/customXml" ds:itemID="{6652A20E-D3D1-48FF-869E-C7DB09E50F0E}">
  <ds:schemaRefs>
    <ds:schemaRef ds:uri="http://www.w3.org/XML/1998/namespace"/>
    <ds:schemaRef ds:uri="http://purl.org/dc/dcmitype/"/>
    <ds:schemaRef ds:uri="3e73c2ff-8a1c-4d86-bab8-d6702df5b2fa"/>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46fad1f7-cbf5-4957-94ca-7ef353892ea2"/>
  </ds:schemaRefs>
</ds:datastoreItem>
</file>

<file path=customXml/itemProps4.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2793</Words>
  <Characters>16738</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BSC Template 104 15-day ET</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03-21-Pt11-15Day-ET</dc:title>
  <dc:creator>CBSC</dc:creator>
  <cp:lastModifiedBy>Rodriguez, Enrique (CBSC)@DGS</cp:lastModifiedBy>
  <cp:revision>33</cp:revision>
  <cp:lastPrinted>2021-10-08T17:30:00Z</cp:lastPrinted>
  <dcterms:created xsi:type="dcterms:W3CDTF">2021-10-12T17:08:00Z</dcterms:created>
  <dcterms:modified xsi:type="dcterms:W3CDTF">2021-10-12T21:10:00Z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