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A6FD" w14:textId="77777777" w:rsidR="00A477C7"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A477C7">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A477C7">
        <w:rPr>
          <w:rFonts w:cs="Arial"/>
        </w:rPr>
        <w:t xml:space="preserve">DIVISION OF THE STATE ARCHITECT </w:t>
      </w:r>
    </w:p>
    <w:p w14:paraId="44CA587B" w14:textId="522DA774" w:rsidR="00EA55B4" w:rsidRPr="0044593B" w:rsidRDefault="00A477C7" w:rsidP="00EA55B4">
      <w:pPr>
        <w:pStyle w:val="Heading1"/>
        <w:spacing w:before="0" w:after="0"/>
        <w:jc w:val="center"/>
        <w:rPr>
          <w:rFonts w:cs="Arial"/>
        </w:rPr>
      </w:pPr>
      <w:r>
        <w:rPr>
          <w:rFonts w:cs="Arial"/>
        </w:rPr>
        <w:t>(DSA-SS and DSA-SS/CC)</w:t>
      </w:r>
      <w:r w:rsidR="00767766" w:rsidRPr="0044593B">
        <w:rPr>
          <w:rFonts w:cs="Arial"/>
        </w:rPr>
        <w:br/>
        <w:t xml:space="preserve">REGARDING THE </w:t>
      </w:r>
      <w:r>
        <w:rPr>
          <w:rFonts w:cs="Arial"/>
        </w:rPr>
        <w:t>2022 CALIFORNIA PLUMBING CODE</w:t>
      </w:r>
      <w:r w:rsidR="00767766" w:rsidRPr="0044593B">
        <w:rPr>
          <w:rFonts w:cs="Arial"/>
        </w:rPr>
        <w:t>,</w:t>
      </w:r>
    </w:p>
    <w:p w14:paraId="21B144CC" w14:textId="5C436BDA" w:rsidR="00767766" w:rsidRPr="0044593B" w:rsidRDefault="00767766" w:rsidP="0092735E">
      <w:pPr>
        <w:pStyle w:val="Heading1"/>
        <w:spacing w:before="0"/>
        <w:jc w:val="center"/>
        <w:rPr>
          <w:rFonts w:cs="Arial"/>
        </w:rPr>
      </w:pPr>
      <w:r w:rsidRPr="0044593B">
        <w:rPr>
          <w:rFonts w:cs="Arial"/>
        </w:rPr>
        <w:t xml:space="preserve">CALIFORNIA CODE OF REGULATIONS, TITLE 24, PART </w:t>
      </w:r>
      <w:r w:rsidR="00A477C7">
        <w:rPr>
          <w:rFonts w:cs="Arial"/>
        </w:rPr>
        <w:t>5</w:t>
      </w:r>
    </w:p>
    <w:p w14:paraId="28A8FEFB" w14:textId="0180E64C" w:rsidR="00767766" w:rsidRPr="0044593B" w:rsidRDefault="00767766" w:rsidP="0092735E">
      <w:pPr>
        <w:pStyle w:val="Heading1"/>
        <w:spacing w:after="120"/>
        <w:jc w:val="center"/>
        <w:rPr>
          <w:rFonts w:cs="Arial"/>
          <w:szCs w:val="24"/>
        </w:rPr>
      </w:pPr>
      <w:r w:rsidRPr="0044593B">
        <w:rPr>
          <w:rFonts w:cs="Arial"/>
          <w:szCs w:val="24"/>
        </w:rPr>
        <w:t>(</w:t>
      </w:r>
      <w:r w:rsidR="00A477C7">
        <w:rPr>
          <w:rFonts w:cs="Arial"/>
          <w:szCs w:val="24"/>
        </w:rPr>
        <w:t xml:space="preserve">DSA SS/CC </w:t>
      </w:r>
      <w:r w:rsidR="00145018">
        <w:rPr>
          <w:rFonts w:cs="Arial"/>
          <w:szCs w:val="24"/>
        </w:rPr>
        <w:t>02/21</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italics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04AED186"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4059F6">
        <w:rPr>
          <w:rFonts w:ascii="Arial" w:hAnsi="Arial" w:cs="Arial"/>
        </w:rPr>
        <w:t>15</w:t>
      </w:r>
      <w:r w:rsidRPr="0044593B">
        <w:rPr>
          <w:rFonts w:ascii="Arial" w:hAnsi="Arial" w:cs="Arial"/>
        </w:rPr>
        <w:t xml:space="preserve">-day amendments appear in </w:t>
      </w:r>
      <w:r w:rsidRPr="008A63C7">
        <w:rPr>
          <w:rFonts w:ascii="Arial" w:hAnsi="Arial" w:cs="Arial"/>
          <w:i/>
          <w:iCs/>
          <w:u w:val="double"/>
        </w:rPr>
        <w:t>double underline and italic</w:t>
      </w:r>
      <w:r w:rsidRPr="0044593B">
        <w:rPr>
          <w:rFonts w:ascii="Arial" w:hAnsi="Arial" w:cs="Arial"/>
        </w:rPr>
        <w:t xml:space="preserve"> and </w:t>
      </w:r>
      <w:r w:rsidRPr="008A63C7">
        <w:rPr>
          <w:rFonts w:ascii="Arial" w:hAnsi="Arial" w:cs="Arial"/>
          <w:i/>
          <w:iCs/>
          <w:dstrike/>
        </w:rPr>
        <w:t>double strikeout and italic</w:t>
      </w:r>
      <w:r w:rsidRPr="0044593B">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7D4E993D" w14:textId="4BC2BE3B" w:rsidR="00767766" w:rsidRPr="0044593B" w:rsidRDefault="00786248" w:rsidP="00EC0A76">
      <w:pPr>
        <w:pStyle w:val="Heading1"/>
        <w:spacing w:before="240" w:after="120"/>
        <w:rPr>
          <w:rFonts w:cs="Arial"/>
          <w:bCs/>
        </w:rPr>
      </w:pPr>
      <w:r w:rsidRPr="0044593B">
        <w:rPr>
          <w:rFonts w:cs="Arial"/>
        </w:rPr>
        <w:t>ADDITIONAL</w:t>
      </w:r>
      <w:r w:rsidR="00767766" w:rsidRPr="0044593B">
        <w:rPr>
          <w:rFonts w:cs="Arial"/>
        </w:rPr>
        <w:t xml:space="preserve"> </w:t>
      </w:r>
      <w:r w:rsidR="00A477C7">
        <w:rPr>
          <w:rFonts w:cs="Arial"/>
        </w:rPr>
        <w:t>15</w:t>
      </w:r>
      <w:r w:rsidRPr="0044593B">
        <w:rPr>
          <w:rFonts w:cs="Arial"/>
        </w:rPr>
        <w:t xml:space="preserve">-DAY </w:t>
      </w:r>
      <w:r w:rsidR="00767766" w:rsidRPr="0044593B">
        <w:rPr>
          <w:rFonts w:cs="Arial"/>
        </w:rPr>
        <w:t>EXPRESS TERMS</w:t>
      </w:r>
    </w:p>
    <w:p w14:paraId="6D897632" w14:textId="77777777" w:rsidR="0031734A" w:rsidRDefault="000B33E0" w:rsidP="0031734A">
      <w:pPr>
        <w:pStyle w:val="Heading1"/>
        <w:spacing w:after="0"/>
        <w:rPr>
          <w:rFonts w:cs="Arial"/>
        </w:rPr>
      </w:pPr>
      <w:r w:rsidRPr="0044593B">
        <w:rPr>
          <w:rFonts w:cs="Arial"/>
        </w:rPr>
        <w:t xml:space="preserve">Item </w:t>
      </w:r>
      <w:r w:rsidR="0031734A">
        <w:rPr>
          <w:rFonts w:cs="Arial"/>
        </w:rPr>
        <w:t>4</w:t>
      </w:r>
    </w:p>
    <w:p w14:paraId="48D56BCA" w14:textId="6F215A13" w:rsidR="0031734A" w:rsidRPr="0031734A" w:rsidRDefault="0031734A" w:rsidP="0031734A">
      <w:pPr>
        <w:pStyle w:val="Heading1"/>
        <w:spacing w:after="0"/>
        <w:rPr>
          <w:rFonts w:cs="Arial"/>
        </w:rPr>
      </w:pPr>
      <w:r w:rsidRPr="00E771D8">
        <w:t xml:space="preserve">Chapter </w:t>
      </w:r>
      <w:r w:rsidRPr="00E771D8">
        <w:rPr>
          <w:noProof/>
        </w:rPr>
        <w:t>4, Plumbing fixtures and fixture fittings</w:t>
      </w:r>
    </w:p>
    <w:p w14:paraId="3E94EDD0" w14:textId="03B11EE6" w:rsidR="0031734A" w:rsidRPr="005D770D" w:rsidRDefault="0031734A" w:rsidP="0031734A">
      <w:pPr>
        <w:spacing w:before="120" w:after="120"/>
        <w:rPr>
          <w:rFonts w:ascii="Arial" w:hAnsi="Arial" w:cs="Arial"/>
        </w:rPr>
      </w:pPr>
      <w:bookmarkStart w:id="1" w:name="_Hlk64441401"/>
      <w:r w:rsidRPr="005D770D">
        <w:rPr>
          <w:rFonts w:ascii="Arial" w:hAnsi="Arial" w:cs="Arial"/>
        </w:rPr>
        <w:t>DSA proposes to adopt Chapter 4 of the 2021 UPC into the 2022 edition of the CPC with existing California amendments carried forward and additional changes.</w:t>
      </w:r>
      <w:bookmarkEnd w:id="1"/>
    </w:p>
    <w:p w14:paraId="3CFB0A70" w14:textId="25748C74" w:rsidR="006D1291" w:rsidRDefault="006D1291" w:rsidP="0031734A">
      <w:pPr>
        <w:spacing w:before="120" w:after="120"/>
        <w:rPr>
          <w:rFonts w:cs="Arial"/>
        </w:rPr>
      </w:pPr>
      <w:r>
        <w:rPr>
          <w:rFonts w:cs="Arial"/>
        </w:rPr>
        <w:t>…</w:t>
      </w:r>
    </w:p>
    <w:p w14:paraId="07D8FFDA" w14:textId="2F306689" w:rsidR="00B5467C" w:rsidRDefault="00B5467C" w:rsidP="00B5467C">
      <w:pPr>
        <w:autoSpaceDE w:val="0"/>
        <w:autoSpaceDN w:val="0"/>
        <w:spacing w:before="240"/>
        <w:rPr>
          <w:rFonts w:ascii="Arial" w:hAnsi="Arial" w:cs="Arial"/>
          <w:snapToGrid/>
          <w:szCs w:val="24"/>
        </w:rPr>
      </w:pPr>
      <w:r>
        <w:rPr>
          <w:rFonts w:ascii="Arial" w:hAnsi="Arial" w:cs="Arial"/>
          <w:b/>
          <w:bCs/>
          <w:szCs w:val="24"/>
        </w:rPr>
        <w:t xml:space="preserve">422.1 Fixture Count. </w:t>
      </w:r>
      <w:r>
        <w:rPr>
          <w:rFonts w:ascii="Arial" w:hAnsi="Arial" w:cs="Arial"/>
          <w:szCs w:val="24"/>
        </w:rPr>
        <w:t>Plumbing fixtures shall be provided for the type of building occupancy</w:t>
      </w:r>
      <w:r>
        <w:rPr>
          <w:rFonts w:ascii="Arial" w:hAnsi="Arial" w:cs="Arial"/>
          <w:color w:val="00B050"/>
          <w:szCs w:val="24"/>
        </w:rPr>
        <w:t xml:space="preserve"> </w:t>
      </w:r>
      <w:r>
        <w:rPr>
          <w:rFonts w:ascii="Arial" w:hAnsi="Arial" w:cs="Arial"/>
          <w:szCs w:val="24"/>
        </w:rPr>
        <w:t xml:space="preserve">and in the minimum number shown in Table 422.1 </w:t>
      </w:r>
      <w:r>
        <w:rPr>
          <w:rFonts w:ascii="Arial" w:hAnsi="Arial" w:cs="Arial"/>
          <w:b/>
          <w:bCs/>
          <w:i/>
          <w:iCs/>
          <w:szCs w:val="24"/>
        </w:rPr>
        <w:t>[OSHPD 1,1R,2,3,4 &amp; 5]</w:t>
      </w:r>
      <w:r>
        <w:rPr>
          <w:rFonts w:ascii="Arial" w:hAnsi="Arial" w:cs="Arial"/>
          <w:i/>
          <w:iCs/>
          <w:szCs w:val="24"/>
        </w:rPr>
        <w:t xml:space="preserve"> </w:t>
      </w:r>
      <w:r>
        <w:rPr>
          <w:rFonts w:ascii="Arial" w:hAnsi="Arial" w:cs="Arial"/>
          <w:i/>
          <w:iCs/>
          <w:szCs w:val="24"/>
        </w:rPr>
        <w:lastRenderedPageBreak/>
        <w:t>and Tables 4-2 and Table 4-3.</w:t>
      </w:r>
      <w:r>
        <w:rPr>
          <w:rFonts w:ascii="Arial" w:hAnsi="Arial" w:cs="Arial"/>
          <w:szCs w:val="24"/>
        </w:rPr>
        <w:t xml:space="preserve"> The total occupant load and occupancy classification</w:t>
      </w:r>
      <w:r>
        <w:rPr>
          <w:rFonts w:ascii="Arial" w:hAnsi="Arial" w:cs="Arial"/>
          <w:color w:val="00B050"/>
          <w:szCs w:val="24"/>
        </w:rPr>
        <w:t xml:space="preserve"> </w:t>
      </w:r>
      <w:r>
        <w:rPr>
          <w:rFonts w:ascii="Arial" w:hAnsi="Arial" w:cs="Arial"/>
          <w:szCs w:val="24"/>
        </w:rPr>
        <w:t xml:space="preserve">shall be determined in accordance with the </w:t>
      </w:r>
      <w:r>
        <w:rPr>
          <w:rFonts w:ascii="Arial" w:hAnsi="Arial" w:cs="Arial"/>
          <w:i/>
          <w:iCs/>
          <w:szCs w:val="24"/>
        </w:rPr>
        <w:t xml:space="preserve">California Building Code </w:t>
      </w:r>
      <w:r w:rsidRPr="00B46254">
        <w:rPr>
          <w:rFonts w:ascii="Arial" w:hAnsi="Arial" w:cs="Arial"/>
          <w:b/>
          <w:bCs/>
          <w:i/>
          <w:iCs/>
          <w:dstrike/>
          <w:szCs w:val="24"/>
        </w:rPr>
        <w:t>[</w:t>
      </w:r>
      <w:bookmarkStart w:id="2" w:name="_Hlk84855607"/>
      <w:r w:rsidRPr="00B46254">
        <w:rPr>
          <w:rFonts w:ascii="Arial" w:hAnsi="Arial" w:cs="Arial"/>
          <w:b/>
          <w:bCs/>
          <w:i/>
          <w:iCs/>
          <w:dstrike/>
          <w:szCs w:val="24"/>
        </w:rPr>
        <w:t>DSA-SS &amp; DSA-SS/CC</w:t>
      </w:r>
      <w:bookmarkEnd w:id="2"/>
      <w:r w:rsidRPr="00B46254">
        <w:rPr>
          <w:rFonts w:ascii="Arial" w:hAnsi="Arial" w:cs="Arial"/>
          <w:b/>
          <w:bCs/>
          <w:i/>
          <w:iCs/>
          <w:dstrike/>
          <w:szCs w:val="24"/>
        </w:rPr>
        <w:t xml:space="preserve">] </w:t>
      </w:r>
      <w:r w:rsidRPr="00B46254">
        <w:rPr>
          <w:rFonts w:ascii="Arial" w:hAnsi="Arial" w:cs="Arial"/>
          <w:i/>
          <w:iCs/>
          <w:dstrike/>
          <w:szCs w:val="24"/>
        </w:rPr>
        <w:t>or Occupant Load Factor Table A</w:t>
      </w:r>
      <w:r>
        <w:rPr>
          <w:rFonts w:ascii="Arial" w:hAnsi="Arial" w:cs="Arial"/>
          <w:i/>
          <w:iCs/>
          <w:szCs w:val="24"/>
        </w:rPr>
        <w:t xml:space="preserve">. </w:t>
      </w:r>
      <w:r>
        <w:rPr>
          <w:rFonts w:ascii="Arial" w:hAnsi="Arial" w:cs="Arial"/>
          <w:szCs w:val="24"/>
        </w:rPr>
        <w:t>Occupancy classification not shown in Table 422.1 shall be considered separately by the Authority Having Jurisdiction.</w:t>
      </w:r>
    </w:p>
    <w:p w14:paraId="725A3D2F" w14:textId="78988D9C" w:rsidR="00B5467C" w:rsidRPr="006D1291" w:rsidRDefault="00C976E2" w:rsidP="00B5467C">
      <w:pPr>
        <w:autoSpaceDE w:val="0"/>
        <w:autoSpaceDN w:val="0"/>
        <w:spacing w:before="240"/>
        <w:rPr>
          <w:rFonts w:ascii="Arial" w:hAnsi="Arial" w:cs="Arial"/>
          <w:i/>
          <w:iCs/>
          <w:szCs w:val="24"/>
          <w:u w:val="double"/>
        </w:rPr>
      </w:pPr>
      <w:r w:rsidRPr="00C976E2">
        <w:rPr>
          <w:rFonts w:ascii="Arial" w:hAnsi="Arial" w:cs="Arial"/>
          <w:i/>
          <w:iCs/>
          <w:szCs w:val="24"/>
          <w:u w:val="double"/>
        </w:rPr>
        <w:t>[begin double underline]</w:t>
      </w:r>
      <w:r>
        <w:rPr>
          <w:rFonts w:ascii="Arial" w:hAnsi="Arial" w:cs="Arial"/>
          <w:b/>
          <w:bCs/>
          <w:i/>
          <w:iCs/>
          <w:szCs w:val="24"/>
          <w:u w:val="double"/>
        </w:rPr>
        <w:t xml:space="preserve"> </w:t>
      </w:r>
      <w:r w:rsidR="00B5467C" w:rsidRPr="006D1291">
        <w:rPr>
          <w:rFonts w:ascii="Arial" w:hAnsi="Arial" w:cs="Arial"/>
          <w:b/>
          <w:bCs/>
          <w:i/>
          <w:iCs/>
          <w:szCs w:val="24"/>
          <w:u w:val="double"/>
        </w:rPr>
        <w:t xml:space="preserve">Exception: </w:t>
      </w:r>
      <w:r>
        <w:rPr>
          <w:rFonts w:ascii="Arial" w:hAnsi="Arial" w:cs="Arial"/>
          <w:i/>
          <w:iCs/>
          <w:szCs w:val="24"/>
          <w:u w:val="double"/>
        </w:rPr>
        <w:t xml:space="preserve">[end double underline] </w:t>
      </w:r>
      <w:r w:rsidR="00B5467C" w:rsidRPr="006D1291">
        <w:rPr>
          <w:rFonts w:ascii="Arial" w:hAnsi="Arial" w:cs="Arial"/>
          <w:b/>
          <w:bCs/>
          <w:i/>
          <w:iCs/>
          <w:szCs w:val="24"/>
          <w:u w:val="double"/>
        </w:rPr>
        <w:t>[</w:t>
      </w:r>
      <w:r w:rsidR="00B5467C" w:rsidRPr="00B46254">
        <w:rPr>
          <w:rFonts w:ascii="Arial" w:hAnsi="Arial" w:cs="Arial"/>
          <w:b/>
          <w:bCs/>
          <w:i/>
          <w:iCs/>
          <w:szCs w:val="24"/>
        </w:rPr>
        <w:t>BSC</w:t>
      </w:r>
      <w:r w:rsidR="00B46254" w:rsidRPr="00B46254">
        <w:rPr>
          <w:rFonts w:ascii="Arial" w:hAnsi="Arial" w:cs="Arial"/>
          <w:b/>
          <w:bCs/>
          <w:i/>
          <w:iCs/>
          <w:szCs w:val="24"/>
        </w:rPr>
        <w:t>,</w:t>
      </w:r>
      <w:r w:rsidR="00BC442F">
        <w:rPr>
          <w:rFonts w:ascii="Arial" w:hAnsi="Arial" w:cs="Arial"/>
          <w:b/>
          <w:bCs/>
          <w:i/>
          <w:iCs/>
          <w:szCs w:val="24"/>
        </w:rPr>
        <w:t xml:space="preserve"> </w:t>
      </w:r>
      <w:r w:rsidRPr="00C976E2">
        <w:rPr>
          <w:rFonts w:ascii="Arial" w:hAnsi="Arial" w:cs="Arial"/>
          <w:i/>
          <w:iCs/>
          <w:szCs w:val="24"/>
          <w:u w:val="double"/>
        </w:rPr>
        <w:t>[begin double underline]</w:t>
      </w:r>
      <w:r>
        <w:rPr>
          <w:rFonts w:ascii="Arial" w:hAnsi="Arial" w:cs="Arial"/>
          <w:b/>
          <w:bCs/>
          <w:i/>
          <w:iCs/>
          <w:szCs w:val="24"/>
          <w:u w:val="double"/>
        </w:rPr>
        <w:t xml:space="preserve"> </w:t>
      </w:r>
      <w:r w:rsidR="00B46254" w:rsidRPr="00B46254">
        <w:rPr>
          <w:rFonts w:ascii="Arial" w:hAnsi="Arial" w:cs="Arial"/>
          <w:b/>
          <w:bCs/>
          <w:i/>
          <w:iCs/>
          <w:szCs w:val="24"/>
          <w:u w:val="double"/>
        </w:rPr>
        <w:t>DSA-SS &amp; DSA-SS/CC</w:t>
      </w:r>
      <w:r w:rsidR="00B5467C" w:rsidRPr="006D1291">
        <w:rPr>
          <w:rFonts w:ascii="Arial" w:hAnsi="Arial" w:cs="Arial"/>
          <w:b/>
          <w:bCs/>
          <w:i/>
          <w:iCs/>
          <w:szCs w:val="24"/>
          <w:u w:val="double"/>
        </w:rPr>
        <w:t>]</w:t>
      </w:r>
      <w:r w:rsidR="00B5467C" w:rsidRPr="006D1291">
        <w:rPr>
          <w:rFonts w:ascii="Arial" w:hAnsi="Arial" w:cs="Arial"/>
          <w:i/>
          <w:iCs/>
          <w:szCs w:val="24"/>
          <w:u w:val="double"/>
        </w:rPr>
        <w:t xml:space="preserve"> Using occupancy classification, described as function of space, determine occupant load factor from Table 4-1 Occupant Load Factor, of this chapter.</w:t>
      </w:r>
      <w:bookmarkStart w:id="3" w:name="_Hlk59615653"/>
      <w:r w:rsidRPr="00C976E2">
        <w:rPr>
          <w:rFonts w:ascii="Arial" w:hAnsi="Arial" w:cs="Arial"/>
          <w:i/>
          <w:iCs/>
          <w:szCs w:val="24"/>
          <w:u w:val="double"/>
        </w:rPr>
        <w:t xml:space="preserve"> </w:t>
      </w:r>
      <w:r>
        <w:rPr>
          <w:rFonts w:ascii="Arial" w:hAnsi="Arial" w:cs="Arial"/>
          <w:i/>
          <w:iCs/>
          <w:szCs w:val="24"/>
          <w:u w:val="double"/>
        </w:rPr>
        <w:t>[end double underline]</w:t>
      </w:r>
    </w:p>
    <w:p w14:paraId="15A67DAF" w14:textId="3DFA7146" w:rsidR="00B5467C" w:rsidRDefault="00B5467C" w:rsidP="00B5467C">
      <w:pPr>
        <w:autoSpaceDE w:val="0"/>
        <w:autoSpaceDN w:val="0"/>
        <w:spacing w:before="240"/>
        <w:rPr>
          <w:rFonts w:ascii="Arial" w:hAnsi="Arial" w:cs="Arial"/>
          <w:szCs w:val="24"/>
        </w:rPr>
      </w:pPr>
      <w:r w:rsidRPr="00B5467C">
        <w:rPr>
          <w:rFonts w:ascii="Arial" w:hAnsi="Arial" w:cs="Arial"/>
          <w:szCs w:val="24"/>
        </w:rPr>
        <w:t>…</w:t>
      </w:r>
    </w:p>
    <w:p w14:paraId="4BD85582" w14:textId="3A320DE2" w:rsidR="00732930" w:rsidRPr="00B5467C" w:rsidRDefault="00732930" w:rsidP="00B5467C">
      <w:pPr>
        <w:autoSpaceDE w:val="0"/>
        <w:autoSpaceDN w:val="0"/>
        <w:spacing w:before="240"/>
        <w:rPr>
          <w:rFonts w:ascii="Arial" w:hAnsi="Arial" w:cs="Arial"/>
          <w:szCs w:val="24"/>
        </w:rPr>
      </w:pPr>
      <w:r w:rsidRPr="0044593B">
        <w:rPr>
          <w:rFonts w:ascii="Arial" w:hAnsi="Arial" w:cs="Arial"/>
          <w:b/>
        </w:rPr>
        <w:t>Rationale:</w:t>
      </w:r>
      <w:r w:rsidRPr="0044593B">
        <w:rPr>
          <w:rFonts w:ascii="Arial" w:hAnsi="Arial" w:cs="Arial"/>
        </w:rPr>
        <w:t xml:space="preserve"> </w:t>
      </w:r>
      <w:r w:rsidR="005D770D" w:rsidRPr="005D770D">
        <w:rPr>
          <w:rFonts w:ascii="Arial" w:hAnsi="Arial" w:cs="Arial"/>
          <w:noProof/>
        </w:rPr>
        <w:t>DSA originally intended to co-adopt BSC amendments to CPC Section 422.1, language at the top of Table 422.1, and Table 4-1. However, co-adopted amendments to Section 422.1 referenced in the ISOR were inadvertently omitted from DSA’s 45-day express terms and are included herein for 15-day public comment. These proposed changes align with sufficiently-related changes DSA is proposing to CPC Tables 422.1 and 4-1, in coordination with BSC.</w:t>
      </w:r>
    </w:p>
    <w:p w14:paraId="4320B558" w14:textId="1C36120F" w:rsidR="0031734A" w:rsidRPr="00E771D8" w:rsidRDefault="0031734A" w:rsidP="0031734A">
      <w:pPr>
        <w:spacing w:after="240"/>
        <w:rPr>
          <w:rFonts w:cs="Arial"/>
          <w:i/>
          <w:iCs/>
          <w:szCs w:val="24"/>
        </w:rPr>
      </w:pPr>
    </w:p>
    <w:bookmarkEnd w:id="3"/>
    <w:p w14:paraId="58D9D0E0" w14:textId="77777777" w:rsidR="0031734A" w:rsidRPr="00AF1190" w:rsidRDefault="0031734A" w:rsidP="0031734A">
      <w:pPr>
        <w:ind w:left="720"/>
        <w:rPr>
          <w:rFonts w:cs="Arial"/>
          <w:b/>
          <w:bCs/>
        </w:rPr>
      </w:pPr>
      <w:r w:rsidRPr="00AF1190">
        <w:rPr>
          <w:rFonts w:cs="Arial"/>
          <w:b/>
          <w:bCs/>
        </w:rPr>
        <w:t>Notation: DSA-SS</w:t>
      </w:r>
    </w:p>
    <w:p w14:paraId="372F0E66" w14:textId="77777777" w:rsidR="0031734A" w:rsidRPr="00E771D8" w:rsidRDefault="0031734A" w:rsidP="0031734A">
      <w:pPr>
        <w:spacing w:before="120"/>
        <w:ind w:left="720"/>
        <w:rPr>
          <w:rFonts w:cs="Arial"/>
        </w:rPr>
      </w:pPr>
      <w:r w:rsidRPr="00E771D8">
        <w:rPr>
          <w:rFonts w:cs="Arial"/>
        </w:rPr>
        <w:t xml:space="preserve">Authority: </w:t>
      </w:r>
      <w:r w:rsidRPr="00E771D8">
        <w:rPr>
          <w:rFonts w:cs="Arial"/>
          <w:bCs/>
          <w:szCs w:val="24"/>
        </w:rPr>
        <w:t>Education Code Sections 17310 and 81142, and Health and Safety Code Section 16022.</w:t>
      </w:r>
    </w:p>
    <w:p w14:paraId="23481D8C" w14:textId="77777777" w:rsidR="0031734A" w:rsidRPr="00E771D8" w:rsidRDefault="0031734A" w:rsidP="0031734A">
      <w:pPr>
        <w:spacing w:before="120"/>
        <w:ind w:left="720"/>
        <w:rPr>
          <w:rFonts w:cs="Arial"/>
          <w:noProof/>
          <w:szCs w:val="24"/>
        </w:rPr>
      </w:pPr>
      <w:r w:rsidRPr="00E771D8">
        <w:rPr>
          <w:rFonts w:cs="Arial"/>
          <w:szCs w:val="24"/>
        </w:rPr>
        <w:t xml:space="preserve">Reference(s): </w:t>
      </w:r>
      <w:r w:rsidRPr="00E771D8">
        <w:rPr>
          <w:rFonts w:cs="Arial"/>
          <w:bCs/>
          <w:szCs w:val="24"/>
        </w:rPr>
        <w:t>Education Code Sections 17280 through 17317, and 81130 through 81147, and Health and Safety Code Sections 16000 through 16023.</w:t>
      </w:r>
    </w:p>
    <w:p w14:paraId="20A24A12" w14:textId="77777777" w:rsidR="0031734A" w:rsidRPr="00AF1190" w:rsidRDefault="0031734A" w:rsidP="0031734A">
      <w:pPr>
        <w:spacing w:before="240"/>
        <w:ind w:left="720"/>
        <w:rPr>
          <w:rFonts w:cs="Arial"/>
          <w:b/>
          <w:bCs/>
        </w:rPr>
      </w:pPr>
      <w:r w:rsidRPr="00AF1190">
        <w:rPr>
          <w:rFonts w:cs="Arial"/>
          <w:b/>
          <w:bCs/>
        </w:rPr>
        <w:t>Notation: DSA-SS/CC</w:t>
      </w:r>
    </w:p>
    <w:p w14:paraId="21CC42A9" w14:textId="77777777" w:rsidR="0031734A" w:rsidRDefault="0031734A" w:rsidP="0031734A">
      <w:pPr>
        <w:spacing w:before="120"/>
        <w:ind w:left="720"/>
        <w:rPr>
          <w:rFonts w:cs="Arial"/>
          <w:bCs/>
          <w:szCs w:val="24"/>
        </w:rPr>
      </w:pPr>
      <w:r w:rsidRPr="00E771D8">
        <w:rPr>
          <w:rFonts w:cs="Arial"/>
        </w:rPr>
        <w:t xml:space="preserve">Authority: </w:t>
      </w:r>
      <w:r w:rsidRPr="00E771D8">
        <w:rPr>
          <w:rFonts w:cs="Arial"/>
          <w:bCs/>
          <w:szCs w:val="24"/>
        </w:rPr>
        <w:t>Education Code Section 81053.</w:t>
      </w:r>
    </w:p>
    <w:p w14:paraId="19C9B70B" w14:textId="2F927CD8" w:rsidR="0031734A" w:rsidRPr="0031734A" w:rsidRDefault="0031734A" w:rsidP="0031734A">
      <w:pPr>
        <w:spacing w:before="120"/>
        <w:ind w:left="720"/>
        <w:rPr>
          <w:rFonts w:cs="Arial"/>
          <w:szCs w:val="24"/>
        </w:rPr>
      </w:pPr>
      <w:r w:rsidRPr="00E771D8">
        <w:rPr>
          <w:rFonts w:cs="Arial"/>
          <w:szCs w:val="24"/>
        </w:rPr>
        <w:t xml:space="preserve">Reference(s): </w:t>
      </w:r>
      <w:r w:rsidRPr="0031734A">
        <w:rPr>
          <w:rFonts w:cs="Arial"/>
          <w:szCs w:val="24"/>
        </w:rPr>
        <w:t>Education Code Sections 81052, 81053, and 81130 through 81147.</w:t>
      </w:r>
    </w:p>
    <w:p w14:paraId="08024AE9" w14:textId="77777777" w:rsidR="00391B17" w:rsidRPr="0044593B" w:rsidRDefault="00391B17" w:rsidP="00767766">
      <w:pPr>
        <w:spacing w:before="120"/>
        <w:rPr>
          <w:rFonts w:ascii="Arial" w:hAnsi="Arial" w:cs="Arial"/>
        </w:rPr>
      </w:pPr>
    </w:p>
    <w:sectPr w:rsidR="00391B17" w:rsidRPr="0044593B"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98CE" w14:textId="77777777" w:rsidR="0065502A" w:rsidRDefault="0065502A">
      <w:r>
        <w:separator/>
      </w:r>
    </w:p>
  </w:endnote>
  <w:endnote w:type="continuationSeparator" w:id="0">
    <w:p w14:paraId="2130B581" w14:textId="77777777" w:rsidR="0065502A" w:rsidRDefault="0065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0618B3D9" w:rsidR="001A4A03" w:rsidRDefault="001A4A03" w:rsidP="007C04EF">
    <w:pPr>
      <w:pStyle w:val="Footer"/>
      <w:tabs>
        <w:tab w:val="clear" w:pos="4320"/>
        <w:tab w:val="clear" w:pos="8640"/>
        <w:tab w:val="right" w:pos="9180"/>
      </w:tabs>
      <w:rPr>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Pr>
        <w:sz w:val="16"/>
      </w:rPr>
      <w:t xml:space="preserve"> </w:t>
    </w:r>
    <w:r w:rsidR="00876213">
      <w:rPr>
        <w:sz w:val="16"/>
      </w:rPr>
      <w:t>15</w:t>
    </w:r>
    <w:r>
      <w:rPr>
        <w:sz w:val="16"/>
      </w:rPr>
      <w:t>-Day Express Terms</w:t>
    </w:r>
    <w:r>
      <w:rPr>
        <w:sz w:val="16"/>
      </w:rPr>
      <w:tab/>
    </w:r>
    <w:r w:rsidR="009642DF">
      <w:rPr>
        <w:sz w:val="16"/>
      </w:rPr>
      <w:t>October 11, 2021</w:t>
    </w:r>
  </w:p>
  <w:p w14:paraId="723451C6" w14:textId="3E32BCFD" w:rsidR="001A4A03" w:rsidRPr="004C48A0" w:rsidRDefault="00876213" w:rsidP="007C04EF">
    <w:pPr>
      <w:pStyle w:val="Footer"/>
      <w:tabs>
        <w:tab w:val="clear" w:pos="4320"/>
        <w:tab w:val="clear" w:pos="8640"/>
        <w:tab w:val="center" w:pos="5040"/>
        <w:tab w:val="right" w:pos="9180"/>
      </w:tabs>
      <w:rPr>
        <w:rFonts w:ascii="Arial" w:hAnsi="Arial"/>
        <w:sz w:val="16"/>
        <w:szCs w:val="16"/>
      </w:rPr>
    </w:pPr>
    <w:r>
      <w:rPr>
        <w:rFonts w:cs="Arial"/>
        <w:sz w:val="16"/>
      </w:rPr>
      <w:t>DSA SS/CC 02/21</w:t>
    </w:r>
    <w:r w:rsidRPr="00B70204">
      <w:rPr>
        <w:rFonts w:cs="Arial"/>
        <w:sz w:val="16"/>
      </w:rPr>
      <w:t xml:space="preserve"> - Part </w:t>
    </w:r>
    <w:r w:rsidRPr="007D4C46">
      <w:rPr>
        <w:rFonts w:cs="Arial"/>
        <w:sz w:val="16"/>
      </w:rPr>
      <w:t>5</w:t>
    </w:r>
    <w:r w:rsidRPr="00B70204">
      <w:rPr>
        <w:rFonts w:cs="Arial"/>
        <w:sz w:val="16"/>
      </w:rPr>
      <w:t xml:space="preserve"> - </w:t>
    </w:r>
    <w:r w:rsidRPr="007D4C46">
      <w:rPr>
        <w:rFonts w:cs="Arial"/>
        <w:sz w:val="16"/>
      </w:rPr>
      <w:t>2021 Tri</w:t>
    </w:r>
    <w:r w:rsidR="00395514">
      <w:rPr>
        <w:rFonts w:cs="Arial"/>
        <w:sz w:val="16"/>
      </w:rPr>
      <w:t>ennial</w:t>
    </w:r>
    <w:r w:rsidRPr="00E65CE6">
      <w:rPr>
        <w:rFonts w:cs="Arial"/>
        <w:sz w:val="16"/>
      </w:rPr>
      <w:t xml:space="preserve"> Code Cycle</w:t>
    </w:r>
    <w:r w:rsidR="001A4A03" w:rsidRPr="004C48A0">
      <w:rPr>
        <w:rFonts w:ascii="Arial" w:hAnsi="Arial"/>
        <w:sz w:val="16"/>
        <w:szCs w:val="16"/>
      </w:rPr>
      <w:tab/>
    </w:r>
    <w:r w:rsidR="001A4A03" w:rsidRPr="004C48A0">
      <w:rPr>
        <w:rFonts w:ascii="Arial" w:hAnsi="Arial"/>
        <w:sz w:val="16"/>
        <w:szCs w:val="16"/>
      </w:rPr>
      <w:tab/>
    </w:r>
    <w:r>
      <w:rPr>
        <w:sz w:val="16"/>
      </w:rPr>
      <w:t xml:space="preserve">2021 Part 5 </w:t>
    </w:r>
    <w:r w:rsidR="009642DF">
      <w:rPr>
        <w:sz w:val="16"/>
      </w:rPr>
      <w:t>Addl</w:t>
    </w:r>
    <w:r>
      <w:rPr>
        <w:sz w:val="16"/>
      </w:rPr>
      <w:t xml:space="preserve"> </w:t>
    </w:r>
    <w:r w:rsidR="009642DF">
      <w:rPr>
        <w:sz w:val="16"/>
      </w:rPr>
      <w:t>1</w:t>
    </w:r>
    <w:r>
      <w:rPr>
        <w:sz w:val="16"/>
      </w:rPr>
      <w:t>5-Day ET</w:t>
    </w:r>
  </w:p>
  <w:p w14:paraId="5C321276" w14:textId="13AC6CA4" w:rsidR="001A4A03" w:rsidRDefault="00876213" w:rsidP="007C04EF">
    <w:pPr>
      <w:pStyle w:val="Footer"/>
      <w:tabs>
        <w:tab w:val="clear" w:pos="4320"/>
        <w:tab w:val="clear" w:pos="8640"/>
        <w:tab w:val="center" w:pos="4896"/>
        <w:tab w:val="right" w:pos="9180"/>
      </w:tabs>
      <w:rPr>
        <w:sz w:val="16"/>
      </w:rPr>
    </w:pPr>
    <w:r w:rsidRPr="007D4C46">
      <w:rPr>
        <w:rFonts w:cs="Arial"/>
        <w:sz w:val="16"/>
      </w:rPr>
      <w:t>Division of the State Architect</w:t>
    </w:r>
    <w:r w:rsidR="000F6D3A">
      <w:rPr>
        <w:sz w:val="16"/>
      </w:rPr>
      <w:tab/>
    </w:r>
    <w:r w:rsidR="000F6D3A">
      <w:rPr>
        <w:rStyle w:val="PageNumber"/>
        <w:rFonts w:ascii="Arial" w:hAnsi="Arial" w:cs="Arial"/>
        <w:sz w:val="16"/>
      </w:rPr>
      <w:t xml:space="preserve">Page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PAGE </w:instrText>
    </w:r>
    <w:r w:rsidR="000F6D3A" w:rsidRPr="00B1767F">
      <w:rPr>
        <w:rStyle w:val="PageNumber"/>
        <w:rFonts w:ascii="Arial" w:hAnsi="Arial" w:cs="Arial"/>
        <w:sz w:val="16"/>
      </w:rPr>
      <w:fldChar w:fldCharType="separate"/>
    </w:r>
    <w:r w:rsidR="000F6D3A">
      <w:rPr>
        <w:rStyle w:val="PageNumber"/>
        <w:rFonts w:ascii="Arial" w:hAnsi="Arial" w:cs="Arial"/>
        <w:sz w:val="16"/>
      </w:rPr>
      <w:t>1</w:t>
    </w:r>
    <w:r w:rsidR="000F6D3A" w:rsidRPr="00B1767F">
      <w:rPr>
        <w:rStyle w:val="PageNumber"/>
        <w:rFonts w:ascii="Arial" w:hAnsi="Arial" w:cs="Arial"/>
        <w:sz w:val="16"/>
      </w:rPr>
      <w:fldChar w:fldCharType="end"/>
    </w:r>
    <w:r w:rsidR="000F6D3A" w:rsidRPr="00B1767F">
      <w:rPr>
        <w:rStyle w:val="PageNumber"/>
        <w:rFonts w:ascii="Arial" w:hAnsi="Arial" w:cs="Arial"/>
        <w:sz w:val="16"/>
      </w:rPr>
      <w:t xml:space="preserve"> of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NUMPAGES </w:instrText>
    </w:r>
    <w:r w:rsidR="000F6D3A" w:rsidRPr="00B1767F">
      <w:rPr>
        <w:rStyle w:val="PageNumber"/>
        <w:rFonts w:ascii="Arial" w:hAnsi="Arial" w:cs="Arial"/>
        <w:sz w:val="16"/>
      </w:rPr>
      <w:fldChar w:fldCharType="separate"/>
    </w:r>
    <w:r w:rsidR="000F6D3A">
      <w:rPr>
        <w:rStyle w:val="PageNumber"/>
        <w:rFonts w:ascii="Arial" w:hAnsi="Arial" w:cs="Arial"/>
        <w:sz w:val="16"/>
      </w:rPr>
      <w:t>2</w:t>
    </w:r>
    <w:r w:rsidR="000F6D3A" w:rsidRPr="00B1767F">
      <w:rPr>
        <w:rStyle w:val="PageNumbe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1371" w14:textId="77777777" w:rsidR="0065502A" w:rsidRDefault="0065502A">
      <w:r>
        <w:separator/>
      </w:r>
    </w:p>
  </w:footnote>
  <w:footnote w:type="continuationSeparator" w:id="0">
    <w:p w14:paraId="0BC7DB25" w14:textId="77777777" w:rsidR="0065502A" w:rsidRDefault="0065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4FF4B0A"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AC6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F44F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E4A0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AF1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0083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B46C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CAB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ED5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2A3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F26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70ACEA62"/>
    <w:lvl w:ilvl="0">
      <w:start w:val="1"/>
      <w:numFmt w:val="decimal"/>
      <w:lvlText w:val="%1."/>
      <w:lvlJc w:val="left"/>
      <w:pPr>
        <w:ind w:left="758" w:hanging="720"/>
      </w:pPr>
      <w:rPr>
        <w:rFonts w:ascii="Times New Roman" w:hAnsi="Times New Roman" w:cs="Times New Roman" w:hint="default"/>
        <w:b w:val="0"/>
        <w:bCs w:val="0"/>
        <w:i/>
        <w:iCs/>
        <w:spacing w:val="-7"/>
        <w:w w:val="100"/>
        <w:sz w:val="18"/>
        <w:szCs w:val="18"/>
      </w:rPr>
    </w:lvl>
    <w:lvl w:ilvl="1">
      <w:numFmt w:val="bullet"/>
      <w:lvlText w:val="•"/>
      <w:lvlJc w:val="left"/>
      <w:pPr>
        <w:ind w:left="1285" w:hanging="720"/>
      </w:pPr>
    </w:lvl>
    <w:lvl w:ilvl="2">
      <w:numFmt w:val="bullet"/>
      <w:lvlText w:val="•"/>
      <w:lvlJc w:val="left"/>
      <w:pPr>
        <w:ind w:left="1810" w:hanging="720"/>
      </w:pPr>
    </w:lvl>
    <w:lvl w:ilvl="3">
      <w:numFmt w:val="bullet"/>
      <w:lvlText w:val="•"/>
      <w:lvlJc w:val="left"/>
      <w:pPr>
        <w:ind w:left="2335" w:hanging="720"/>
      </w:pPr>
    </w:lvl>
    <w:lvl w:ilvl="4">
      <w:numFmt w:val="bullet"/>
      <w:lvlText w:val="•"/>
      <w:lvlJc w:val="left"/>
      <w:pPr>
        <w:ind w:left="2860" w:hanging="720"/>
      </w:pPr>
    </w:lvl>
    <w:lvl w:ilvl="5">
      <w:numFmt w:val="bullet"/>
      <w:lvlText w:val="•"/>
      <w:lvlJc w:val="left"/>
      <w:pPr>
        <w:ind w:left="3385" w:hanging="720"/>
      </w:pPr>
    </w:lvl>
    <w:lvl w:ilvl="6">
      <w:numFmt w:val="bullet"/>
      <w:lvlText w:val="•"/>
      <w:lvlJc w:val="left"/>
      <w:pPr>
        <w:ind w:left="3910" w:hanging="720"/>
      </w:pPr>
    </w:lvl>
    <w:lvl w:ilvl="7">
      <w:numFmt w:val="bullet"/>
      <w:lvlText w:val="•"/>
      <w:lvlJc w:val="left"/>
      <w:pPr>
        <w:ind w:left="4435" w:hanging="720"/>
      </w:pPr>
    </w:lvl>
    <w:lvl w:ilvl="8">
      <w:numFmt w:val="bullet"/>
      <w:lvlText w:val="•"/>
      <w:lvlJc w:val="left"/>
      <w:pPr>
        <w:ind w:left="4960" w:hanging="720"/>
      </w:pPr>
    </w:lvl>
  </w:abstractNum>
  <w:abstractNum w:abstractNumId="1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11"/>
  </w:num>
  <w:num w:numId="5">
    <w:abstractNumId w:val="13"/>
  </w:num>
  <w:num w:numId="6">
    <w:abstractNumId w:val="16"/>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bordersDoNotSurroundHeader/>
  <w:bordersDoNotSurroundFooter/>
  <w:stylePaneFormatFilter w:val="B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1"/>
  <w:stylePaneSortMethod w:val="0004"/>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27C"/>
    <w:rsid w:val="00023B9A"/>
    <w:rsid w:val="000257AD"/>
    <w:rsid w:val="000B33E0"/>
    <w:rsid w:val="000C5682"/>
    <w:rsid w:val="000C7BDB"/>
    <w:rsid w:val="000E24B4"/>
    <w:rsid w:val="000F2EEE"/>
    <w:rsid w:val="000F6D3A"/>
    <w:rsid w:val="00123F82"/>
    <w:rsid w:val="001362F4"/>
    <w:rsid w:val="00145018"/>
    <w:rsid w:val="0017531B"/>
    <w:rsid w:val="00175449"/>
    <w:rsid w:val="001845B6"/>
    <w:rsid w:val="001A4A03"/>
    <w:rsid w:val="001B1F61"/>
    <w:rsid w:val="001C2CA3"/>
    <w:rsid w:val="001D5566"/>
    <w:rsid w:val="001D6710"/>
    <w:rsid w:val="001E06CC"/>
    <w:rsid w:val="001E635B"/>
    <w:rsid w:val="00234A84"/>
    <w:rsid w:val="00235B37"/>
    <w:rsid w:val="002367DC"/>
    <w:rsid w:val="0029665D"/>
    <w:rsid w:val="002A0905"/>
    <w:rsid w:val="002D3F86"/>
    <w:rsid w:val="002D5E4A"/>
    <w:rsid w:val="0030639B"/>
    <w:rsid w:val="0031734A"/>
    <w:rsid w:val="003324BE"/>
    <w:rsid w:val="0034029A"/>
    <w:rsid w:val="00354633"/>
    <w:rsid w:val="0037506B"/>
    <w:rsid w:val="00391B17"/>
    <w:rsid w:val="003942B6"/>
    <w:rsid w:val="00395514"/>
    <w:rsid w:val="003C2B8F"/>
    <w:rsid w:val="003D46A3"/>
    <w:rsid w:val="003E1AB0"/>
    <w:rsid w:val="004059F6"/>
    <w:rsid w:val="00433E49"/>
    <w:rsid w:val="0044593B"/>
    <w:rsid w:val="00496F2B"/>
    <w:rsid w:val="00496FE4"/>
    <w:rsid w:val="004B2AB9"/>
    <w:rsid w:val="004B48D5"/>
    <w:rsid w:val="004C48A0"/>
    <w:rsid w:val="00563190"/>
    <w:rsid w:val="005B5184"/>
    <w:rsid w:val="005D2DCC"/>
    <w:rsid w:val="005D770D"/>
    <w:rsid w:val="005E162F"/>
    <w:rsid w:val="005F1F14"/>
    <w:rsid w:val="005F22C5"/>
    <w:rsid w:val="005F24D1"/>
    <w:rsid w:val="005F696F"/>
    <w:rsid w:val="0061175B"/>
    <w:rsid w:val="006169B9"/>
    <w:rsid w:val="00631F79"/>
    <w:rsid w:val="0065502A"/>
    <w:rsid w:val="006721FC"/>
    <w:rsid w:val="00675E1D"/>
    <w:rsid w:val="006B747C"/>
    <w:rsid w:val="006C1924"/>
    <w:rsid w:val="006D1291"/>
    <w:rsid w:val="00732930"/>
    <w:rsid w:val="00767766"/>
    <w:rsid w:val="00776FA8"/>
    <w:rsid w:val="00786248"/>
    <w:rsid w:val="007915D5"/>
    <w:rsid w:val="007A674B"/>
    <w:rsid w:val="007C04EF"/>
    <w:rsid w:val="007C4832"/>
    <w:rsid w:val="007D414E"/>
    <w:rsid w:val="007E18BE"/>
    <w:rsid w:val="007E6A6C"/>
    <w:rsid w:val="0081299A"/>
    <w:rsid w:val="00862625"/>
    <w:rsid w:val="00874876"/>
    <w:rsid w:val="00876213"/>
    <w:rsid w:val="008A2AC5"/>
    <w:rsid w:val="008A3DD5"/>
    <w:rsid w:val="008A63C7"/>
    <w:rsid w:val="008D327D"/>
    <w:rsid w:val="008E0828"/>
    <w:rsid w:val="008E36A8"/>
    <w:rsid w:val="00923E68"/>
    <w:rsid w:val="00926738"/>
    <w:rsid w:val="0092735E"/>
    <w:rsid w:val="00933897"/>
    <w:rsid w:val="009462E9"/>
    <w:rsid w:val="009642DF"/>
    <w:rsid w:val="00995899"/>
    <w:rsid w:val="009A693A"/>
    <w:rsid w:val="009D10AD"/>
    <w:rsid w:val="009E0E79"/>
    <w:rsid w:val="009E6B12"/>
    <w:rsid w:val="009F46E4"/>
    <w:rsid w:val="00A07EE6"/>
    <w:rsid w:val="00A138AA"/>
    <w:rsid w:val="00A477C7"/>
    <w:rsid w:val="00A60CA1"/>
    <w:rsid w:val="00A63EF9"/>
    <w:rsid w:val="00A813A1"/>
    <w:rsid w:val="00AC1F10"/>
    <w:rsid w:val="00AF4D10"/>
    <w:rsid w:val="00AF4E96"/>
    <w:rsid w:val="00B12576"/>
    <w:rsid w:val="00B435D5"/>
    <w:rsid w:val="00B46254"/>
    <w:rsid w:val="00B53C67"/>
    <w:rsid w:val="00B5467C"/>
    <w:rsid w:val="00B627CF"/>
    <w:rsid w:val="00BC442F"/>
    <w:rsid w:val="00BF3E81"/>
    <w:rsid w:val="00C15FE5"/>
    <w:rsid w:val="00C36475"/>
    <w:rsid w:val="00C44C36"/>
    <w:rsid w:val="00C6643B"/>
    <w:rsid w:val="00C67B72"/>
    <w:rsid w:val="00C976E2"/>
    <w:rsid w:val="00CB69CE"/>
    <w:rsid w:val="00CF2161"/>
    <w:rsid w:val="00CF3372"/>
    <w:rsid w:val="00D04B58"/>
    <w:rsid w:val="00D110A1"/>
    <w:rsid w:val="00D13D82"/>
    <w:rsid w:val="00D30882"/>
    <w:rsid w:val="00D34267"/>
    <w:rsid w:val="00D41151"/>
    <w:rsid w:val="00D67CC8"/>
    <w:rsid w:val="00D91AE2"/>
    <w:rsid w:val="00DB2E73"/>
    <w:rsid w:val="00DB7DDE"/>
    <w:rsid w:val="00DD1947"/>
    <w:rsid w:val="00E016BA"/>
    <w:rsid w:val="00E22041"/>
    <w:rsid w:val="00E3628E"/>
    <w:rsid w:val="00E3790F"/>
    <w:rsid w:val="00E45D23"/>
    <w:rsid w:val="00E5214A"/>
    <w:rsid w:val="00E53D35"/>
    <w:rsid w:val="00E93085"/>
    <w:rsid w:val="00EA1267"/>
    <w:rsid w:val="00EA55B4"/>
    <w:rsid w:val="00EC0A76"/>
    <w:rsid w:val="00EC1406"/>
    <w:rsid w:val="00ED27E1"/>
    <w:rsid w:val="00EF26E2"/>
    <w:rsid w:val="00F103E2"/>
    <w:rsid w:val="00F152F2"/>
    <w:rsid w:val="00F17139"/>
    <w:rsid w:val="00F22CD9"/>
    <w:rsid w:val="00F768B4"/>
    <w:rsid w:val="00F87B9E"/>
    <w:rsid w:val="00F97C83"/>
    <w:rsid w:val="00FB34BE"/>
    <w:rsid w:val="00FD45EA"/>
    <w:rsid w:val="00FE22D5"/>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70D"/>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29665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semiHidden/>
    <w:rsid w:val="0029665D"/>
    <w:rPr>
      <w:rFonts w:asciiTheme="majorHAnsi" w:eastAsiaTheme="majorEastAsia" w:hAnsiTheme="majorHAnsi" w:cstheme="majorBidi"/>
      <w:snapToGrid w:val="0"/>
      <w:color w:val="243F60" w:themeColor="accent1" w:themeShade="7F"/>
      <w:sz w:val="24"/>
      <w:szCs w:val="24"/>
    </w:rPr>
  </w:style>
  <w:style w:type="table" w:customStyle="1" w:styleId="TableGrid1">
    <w:name w:val="Table Grid1"/>
    <w:basedOn w:val="TableNormal"/>
    <w:rsid w:val="003173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D770D"/>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827985692">
      <w:bodyDiv w:val="1"/>
      <w:marLeft w:val="0"/>
      <w:marRight w:val="0"/>
      <w:marTop w:val="0"/>
      <w:marBottom w:val="0"/>
      <w:divBdr>
        <w:top w:val="none" w:sz="0" w:space="0" w:color="auto"/>
        <w:left w:val="none" w:sz="0" w:space="0" w:color="auto"/>
        <w:bottom w:val="none" w:sz="0" w:space="0" w:color="auto"/>
        <w:right w:val="none" w:sz="0" w:space="0" w:color="auto"/>
      </w:divBdr>
    </w:div>
    <w:div w:id="957764397">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8738-F7BF-469D-82EB-E725DDB7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2021 Part 5 - Additional 15-Day Express Terms</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5 - Additional 15-Day Express Terms</dc:title>
  <dc:creator/>
  <cp:lastModifiedBy/>
  <cp:revision>1</cp:revision>
  <dcterms:created xsi:type="dcterms:W3CDTF">2021-10-12T16:22:00Z</dcterms:created>
  <dcterms:modified xsi:type="dcterms:W3CDTF">2021-10-12T18:15:00Z</dcterms:modified>
</cp:coreProperties>
</file>