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9680BC" w14:textId="77777777" w:rsidR="00115C8B" w:rsidRPr="008C6A72" w:rsidRDefault="00115C8B" w:rsidP="00445C8E">
      <w:pPr>
        <w:rPr>
          <w:rFonts w:cs="Arial"/>
        </w:rPr>
      </w:pPr>
    </w:p>
    <w:p w14:paraId="5CD58097" w14:textId="77777777" w:rsidR="00516167" w:rsidRPr="008C6A72" w:rsidRDefault="00516167" w:rsidP="00516167">
      <w:pPr>
        <w:pStyle w:val="Title"/>
        <w:rPr>
          <w:rFonts w:ascii="Arial" w:hAnsi="Arial" w:cs="Arial"/>
          <w:szCs w:val="24"/>
        </w:rPr>
      </w:pPr>
      <w:r w:rsidRPr="008C6A72">
        <w:rPr>
          <w:rFonts w:ascii="Arial" w:hAnsi="Arial" w:cs="Arial"/>
          <w:szCs w:val="24"/>
        </w:rPr>
        <w:t>CALIFORNIA BUILDING STANDARDS COMMISSION</w:t>
      </w:r>
    </w:p>
    <w:p w14:paraId="05B307F6" w14:textId="77777777" w:rsidR="005E3A9B" w:rsidRPr="008C6A72" w:rsidRDefault="005E3A9B" w:rsidP="002551B5">
      <w:pPr>
        <w:pStyle w:val="Title"/>
        <w:rPr>
          <w:rFonts w:ascii="Arial" w:hAnsi="Arial" w:cs="Arial"/>
          <w:szCs w:val="24"/>
        </w:rPr>
      </w:pPr>
    </w:p>
    <w:p w14:paraId="40451972" w14:textId="77777777" w:rsidR="005818FB" w:rsidRPr="008C6A72" w:rsidRDefault="00783E9E" w:rsidP="005818FB">
      <w:pPr>
        <w:pStyle w:val="Title"/>
        <w:rPr>
          <w:rFonts w:ascii="Arial" w:hAnsi="Arial" w:cs="Arial"/>
          <w:szCs w:val="24"/>
        </w:rPr>
      </w:pPr>
      <w:r w:rsidRPr="008C6A72">
        <w:rPr>
          <w:rFonts w:ascii="Arial" w:hAnsi="Arial" w:cs="Arial"/>
          <w:szCs w:val="24"/>
        </w:rPr>
        <w:t>August</w:t>
      </w:r>
      <w:r w:rsidR="0041712F" w:rsidRPr="008C6A72">
        <w:rPr>
          <w:rFonts w:ascii="Arial" w:hAnsi="Arial" w:cs="Arial"/>
          <w:szCs w:val="24"/>
        </w:rPr>
        <w:t xml:space="preserve"> 20,</w:t>
      </w:r>
      <w:r w:rsidRPr="008C6A72">
        <w:rPr>
          <w:rFonts w:ascii="Arial" w:hAnsi="Arial" w:cs="Arial"/>
          <w:szCs w:val="24"/>
        </w:rPr>
        <w:t xml:space="preserve"> 2019</w:t>
      </w:r>
    </w:p>
    <w:p w14:paraId="35EE0348" w14:textId="77777777" w:rsidR="008C16D4" w:rsidRPr="008C6A72" w:rsidRDefault="008C16D4" w:rsidP="008C16D4">
      <w:pPr>
        <w:pStyle w:val="Title"/>
        <w:rPr>
          <w:rFonts w:ascii="Arial" w:hAnsi="Arial" w:cs="Arial"/>
          <w:szCs w:val="24"/>
        </w:rPr>
      </w:pPr>
      <w:r w:rsidRPr="008C6A72">
        <w:rPr>
          <w:rFonts w:ascii="Arial" w:hAnsi="Arial" w:cs="Arial"/>
          <w:szCs w:val="24"/>
        </w:rPr>
        <w:t xml:space="preserve">GREEN BUILDING </w:t>
      </w:r>
    </w:p>
    <w:p w14:paraId="0700A4F8" w14:textId="77777777" w:rsidR="008C16D4" w:rsidRPr="008C6A72" w:rsidRDefault="008C16D4" w:rsidP="008C16D4">
      <w:pPr>
        <w:pStyle w:val="Title"/>
        <w:rPr>
          <w:rFonts w:ascii="Arial" w:hAnsi="Arial" w:cs="Arial"/>
          <w:szCs w:val="24"/>
        </w:rPr>
      </w:pPr>
      <w:r w:rsidRPr="008C6A72">
        <w:rPr>
          <w:rFonts w:ascii="Arial" w:hAnsi="Arial" w:cs="Arial"/>
          <w:szCs w:val="24"/>
        </w:rPr>
        <w:t>WORKSHOP</w:t>
      </w:r>
    </w:p>
    <w:p w14:paraId="3EC58055" w14:textId="77777777" w:rsidR="00E92C94" w:rsidRPr="008C6A72" w:rsidRDefault="00E92C94" w:rsidP="00E92C94">
      <w:pPr>
        <w:pStyle w:val="Title"/>
        <w:rPr>
          <w:rFonts w:ascii="Arial" w:hAnsi="Arial" w:cs="Arial"/>
          <w:szCs w:val="24"/>
        </w:rPr>
      </w:pPr>
      <w:r w:rsidRPr="008C6A72">
        <w:rPr>
          <w:rFonts w:ascii="Arial" w:hAnsi="Arial" w:cs="Arial"/>
          <w:szCs w:val="24"/>
        </w:rPr>
        <w:t xml:space="preserve">Agenda Item </w:t>
      </w:r>
      <w:r w:rsidR="00F001A2">
        <w:rPr>
          <w:rFonts w:ascii="Arial" w:hAnsi="Arial" w:cs="Arial"/>
          <w:szCs w:val="24"/>
        </w:rPr>
        <w:t>5</w:t>
      </w:r>
    </w:p>
    <w:p w14:paraId="39D9063C" w14:textId="77777777" w:rsidR="008C16D4" w:rsidRPr="008C6A72" w:rsidRDefault="008C16D4" w:rsidP="002551B5">
      <w:pPr>
        <w:pStyle w:val="Title"/>
        <w:rPr>
          <w:rFonts w:ascii="Arial" w:hAnsi="Arial" w:cs="Arial"/>
          <w:szCs w:val="24"/>
        </w:rPr>
      </w:pPr>
    </w:p>
    <w:p w14:paraId="55D0FEF7" w14:textId="77777777" w:rsidR="005E3A9B" w:rsidRPr="008C6A72" w:rsidRDefault="005E3A9B" w:rsidP="005E3A9B">
      <w:pPr>
        <w:tabs>
          <w:tab w:val="center" w:pos="4680"/>
        </w:tabs>
        <w:jc w:val="center"/>
        <w:rPr>
          <w:rFonts w:cs="Arial"/>
          <w:b/>
          <w:bCs/>
          <w:snapToGrid w:val="0"/>
        </w:rPr>
      </w:pPr>
      <w:r w:rsidRPr="008C6A72">
        <w:rPr>
          <w:rFonts w:cs="Arial"/>
          <w:b/>
          <w:bCs/>
          <w:snapToGrid w:val="0"/>
        </w:rPr>
        <w:t>DRAFT EXPRESS TERMS</w:t>
      </w:r>
    </w:p>
    <w:p w14:paraId="4DD23B65" w14:textId="77777777" w:rsidR="007938B6" w:rsidRPr="008C6A72" w:rsidRDefault="005E3A9B" w:rsidP="005E3A9B">
      <w:pPr>
        <w:tabs>
          <w:tab w:val="center" w:pos="4680"/>
        </w:tabs>
        <w:jc w:val="center"/>
        <w:rPr>
          <w:rFonts w:cs="Arial"/>
          <w:b/>
          <w:bCs/>
          <w:snapToGrid w:val="0"/>
        </w:rPr>
      </w:pPr>
      <w:r w:rsidRPr="008C6A72">
        <w:rPr>
          <w:rFonts w:cs="Arial"/>
          <w:b/>
          <w:bCs/>
          <w:snapToGrid w:val="0"/>
        </w:rPr>
        <w:t xml:space="preserve">CALIFORNIA </w:t>
      </w:r>
      <w:r w:rsidR="007E0FD0" w:rsidRPr="008C6A72">
        <w:rPr>
          <w:rFonts w:cs="Arial"/>
          <w:b/>
          <w:bCs/>
          <w:snapToGrid w:val="0"/>
        </w:rPr>
        <w:t xml:space="preserve">GREEN </w:t>
      </w:r>
      <w:r w:rsidRPr="008C6A72">
        <w:rPr>
          <w:rFonts w:cs="Arial"/>
          <w:b/>
          <w:bCs/>
          <w:snapToGrid w:val="0"/>
        </w:rPr>
        <w:t xml:space="preserve">BUILDING </w:t>
      </w:r>
      <w:r w:rsidR="007E0FD0" w:rsidRPr="008C6A72">
        <w:rPr>
          <w:rFonts w:cs="Arial"/>
          <w:b/>
          <w:bCs/>
          <w:snapToGrid w:val="0"/>
        </w:rPr>
        <w:t xml:space="preserve">STANDARDS </w:t>
      </w:r>
      <w:r w:rsidRPr="008C6A72">
        <w:rPr>
          <w:rFonts w:cs="Arial"/>
          <w:b/>
          <w:bCs/>
          <w:snapToGrid w:val="0"/>
        </w:rPr>
        <w:t>CODE</w:t>
      </w:r>
      <w:r w:rsidR="007938B6" w:rsidRPr="008C6A72">
        <w:rPr>
          <w:rFonts w:cs="Arial"/>
          <w:b/>
          <w:bCs/>
          <w:snapToGrid w:val="0"/>
        </w:rPr>
        <w:t>,</w:t>
      </w:r>
    </w:p>
    <w:p w14:paraId="153D8097" w14:textId="77777777" w:rsidR="007938B6" w:rsidRPr="008C6A72" w:rsidRDefault="007938B6" w:rsidP="007938B6">
      <w:pPr>
        <w:tabs>
          <w:tab w:val="center" w:pos="4680"/>
        </w:tabs>
        <w:jc w:val="center"/>
        <w:rPr>
          <w:rFonts w:cs="Arial"/>
          <w:b/>
          <w:bCs/>
          <w:snapToGrid w:val="0"/>
        </w:rPr>
      </w:pPr>
      <w:r w:rsidRPr="008C6A72">
        <w:rPr>
          <w:rFonts w:cs="Arial"/>
          <w:b/>
          <w:bCs/>
          <w:snapToGrid w:val="0"/>
        </w:rPr>
        <w:t xml:space="preserve">(CALGreen), PART 11, </w:t>
      </w:r>
    </w:p>
    <w:p w14:paraId="737ACDBC" w14:textId="77777777" w:rsidR="007938B6" w:rsidRPr="008C6A72" w:rsidRDefault="007938B6" w:rsidP="007938B6">
      <w:pPr>
        <w:tabs>
          <w:tab w:val="center" w:pos="4680"/>
        </w:tabs>
        <w:jc w:val="center"/>
        <w:rPr>
          <w:rFonts w:cs="Arial"/>
          <w:b/>
          <w:bCs/>
          <w:snapToGrid w:val="0"/>
        </w:rPr>
      </w:pPr>
      <w:r w:rsidRPr="008C6A72">
        <w:rPr>
          <w:rFonts w:cs="Arial"/>
          <w:b/>
          <w:bCs/>
          <w:snapToGrid w:val="0"/>
        </w:rPr>
        <w:t xml:space="preserve">CALIFORNIA BUILDING STANDARDS CODE, </w:t>
      </w:r>
    </w:p>
    <w:p w14:paraId="49339DEE" w14:textId="77777777" w:rsidR="005E3A9B" w:rsidRPr="008C6A72" w:rsidRDefault="007938B6" w:rsidP="007938B6">
      <w:pPr>
        <w:tabs>
          <w:tab w:val="center" w:pos="4680"/>
        </w:tabs>
        <w:jc w:val="center"/>
        <w:rPr>
          <w:rFonts w:cs="Arial"/>
          <w:b/>
          <w:bCs/>
          <w:snapToGrid w:val="0"/>
        </w:rPr>
      </w:pPr>
      <w:r w:rsidRPr="008C6A72">
        <w:rPr>
          <w:rFonts w:cs="Arial"/>
          <w:b/>
          <w:bCs/>
          <w:snapToGrid w:val="0"/>
        </w:rPr>
        <w:t>TITLE 24, CALIFORNIA CODE OF REGULATIONS</w:t>
      </w:r>
    </w:p>
    <w:p w14:paraId="3DBE3E49" w14:textId="77777777" w:rsidR="00475ED8" w:rsidRPr="00750097" w:rsidRDefault="00475ED8" w:rsidP="00475ED8">
      <w:pPr>
        <w:pBdr>
          <w:bottom w:val="single" w:sz="4" w:space="1" w:color="auto"/>
        </w:pBdr>
        <w:rPr>
          <w:rFonts w:cs="Arial"/>
        </w:rPr>
      </w:pPr>
    </w:p>
    <w:p w14:paraId="46685CA6" w14:textId="77777777" w:rsidR="00475ED8" w:rsidRPr="00750097" w:rsidRDefault="00475ED8" w:rsidP="00475ED8">
      <w:pPr>
        <w:pStyle w:val="ListParagraph"/>
        <w:ind w:left="0"/>
        <w:rPr>
          <w:rFonts w:ascii="Arial" w:hAnsi="Arial" w:cs="Arial"/>
        </w:rPr>
      </w:pPr>
      <w:r w:rsidRPr="00750097">
        <w:rPr>
          <w:rFonts w:ascii="Arial" w:hAnsi="Arial" w:cs="Arial"/>
          <w:szCs w:val="24"/>
        </w:rPr>
        <w:t>If using assistive technology, please adjust your settings to recognize underline, strikeout and ellipsis.</w:t>
      </w:r>
    </w:p>
    <w:p w14:paraId="2CB715E3" w14:textId="77777777" w:rsidR="00475ED8" w:rsidRPr="00750097" w:rsidRDefault="00475ED8" w:rsidP="00475ED8">
      <w:pPr>
        <w:pStyle w:val="Heading2"/>
        <w:rPr>
          <w:rFonts w:cs="Arial"/>
          <w:b w:val="0"/>
        </w:rPr>
      </w:pPr>
      <w:r w:rsidRPr="00750097">
        <w:rPr>
          <w:rFonts w:cs="Arial"/>
        </w:rPr>
        <w:t>LEGEND for EXPRESS TERMS (California only codes - Parts 1, 6, 8, 11, 12)</w:t>
      </w:r>
    </w:p>
    <w:p w14:paraId="06CF672E" w14:textId="77777777" w:rsidR="00475ED8" w:rsidRPr="00750097" w:rsidRDefault="00475ED8" w:rsidP="00475ED8">
      <w:pPr>
        <w:pStyle w:val="ListParagraph"/>
        <w:widowControl w:val="0"/>
        <w:numPr>
          <w:ilvl w:val="0"/>
          <w:numId w:val="34"/>
        </w:numPr>
        <w:contextualSpacing/>
        <w:rPr>
          <w:rFonts w:ascii="Arial" w:hAnsi="Arial" w:cs="Arial"/>
        </w:rPr>
      </w:pPr>
      <w:r w:rsidRPr="00750097">
        <w:rPr>
          <w:rFonts w:ascii="Arial" w:hAnsi="Arial" w:cs="Arial"/>
          <w:szCs w:val="24"/>
        </w:rPr>
        <w:t>Existing California amendments appear upright</w:t>
      </w:r>
    </w:p>
    <w:p w14:paraId="5DB60EA6" w14:textId="77777777" w:rsidR="00475ED8" w:rsidRPr="00750097" w:rsidRDefault="00475ED8" w:rsidP="00475ED8">
      <w:pPr>
        <w:pStyle w:val="ListParagraph"/>
        <w:widowControl w:val="0"/>
        <w:numPr>
          <w:ilvl w:val="0"/>
          <w:numId w:val="34"/>
        </w:numPr>
        <w:contextualSpacing/>
        <w:rPr>
          <w:rFonts w:ascii="Arial" w:hAnsi="Arial" w:cs="Arial"/>
        </w:rPr>
      </w:pPr>
      <w:r w:rsidRPr="00750097">
        <w:rPr>
          <w:rFonts w:ascii="Arial" w:hAnsi="Arial" w:cs="Arial"/>
          <w:szCs w:val="24"/>
        </w:rPr>
        <w:t xml:space="preserve">Amended or new California amendments appear </w:t>
      </w:r>
      <w:r w:rsidRPr="00750097">
        <w:rPr>
          <w:rFonts w:ascii="Arial" w:hAnsi="Arial" w:cs="Arial"/>
          <w:iCs/>
          <w:szCs w:val="24"/>
          <w:u w:val="single"/>
        </w:rPr>
        <w:t>underlined</w:t>
      </w:r>
    </w:p>
    <w:p w14:paraId="2C5CE653" w14:textId="77777777" w:rsidR="00475ED8" w:rsidRPr="00750097" w:rsidRDefault="00475ED8" w:rsidP="00475ED8">
      <w:pPr>
        <w:pStyle w:val="ListParagraph"/>
        <w:widowControl w:val="0"/>
        <w:numPr>
          <w:ilvl w:val="0"/>
          <w:numId w:val="34"/>
        </w:numPr>
        <w:contextualSpacing/>
        <w:rPr>
          <w:rFonts w:ascii="Arial" w:hAnsi="Arial" w:cs="Arial"/>
        </w:rPr>
      </w:pPr>
      <w:r w:rsidRPr="00750097">
        <w:rPr>
          <w:rFonts w:ascii="Arial" w:hAnsi="Arial" w:cs="Arial"/>
          <w:szCs w:val="24"/>
        </w:rPr>
        <w:t xml:space="preserve">Repealed California language appears </w:t>
      </w:r>
      <w:r w:rsidRPr="00750097">
        <w:rPr>
          <w:rFonts w:ascii="Arial" w:hAnsi="Arial" w:cs="Arial"/>
          <w:strike/>
          <w:szCs w:val="24"/>
        </w:rPr>
        <w:t>upright and in strikeout</w:t>
      </w:r>
    </w:p>
    <w:p w14:paraId="02FCC6D6" w14:textId="77777777" w:rsidR="00475ED8" w:rsidRPr="00750097" w:rsidRDefault="00475ED8" w:rsidP="00475ED8">
      <w:pPr>
        <w:pStyle w:val="ListParagraph"/>
        <w:widowControl w:val="0"/>
        <w:numPr>
          <w:ilvl w:val="0"/>
          <w:numId w:val="34"/>
        </w:numPr>
        <w:contextualSpacing/>
        <w:rPr>
          <w:rFonts w:ascii="Arial" w:hAnsi="Arial" w:cs="Arial"/>
        </w:rPr>
      </w:pPr>
      <w:r w:rsidRPr="00750097">
        <w:rPr>
          <w:rFonts w:ascii="Arial" w:hAnsi="Arial" w:cs="Arial"/>
          <w:szCs w:val="24"/>
        </w:rPr>
        <w:t>Ellipsis (…) indicate existing text remains unchanged</w:t>
      </w:r>
    </w:p>
    <w:p w14:paraId="3664BA90" w14:textId="77777777" w:rsidR="00475ED8" w:rsidRPr="00750097" w:rsidRDefault="00475ED8" w:rsidP="00475ED8">
      <w:pPr>
        <w:pStyle w:val="BodyText3"/>
        <w:pBdr>
          <w:bottom w:val="single" w:sz="4" w:space="1" w:color="auto"/>
        </w:pBdr>
        <w:spacing w:after="240" w:line="276" w:lineRule="auto"/>
        <w:jc w:val="left"/>
        <w:rPr>
          <w:rFonts w:ascii="Arial" w:hAnsi="Arial" w:cs="Arial"/>
          <w:szCs w:val="24"/>
        </w:rPr>
      </w:pPr>
    </w:p>
    <w:p w14:paraId="099F75B2" w14:textId="77777777" w:rsidR="00525A63" w:rsidRPr="005167C8" w:rsidRDefault="00525A63" w:rsidP="007376F9">
      <w:pPr>
        <w:jc w:val="center"/>
        <w:rPr>
          <w:rFonts w:cs="Arial"/>
          <w:i/>
        </w:rPr>
      </w:pPr>
    </w:p>
    <w:p w14:paraId="4572E7F5" w14:textId="77777777" w:rsidR="00D972CA" w:rsidRPr="008C6A72" w:rsidRDefault="00280DFE" w:rsidP="007376F9">
      <w:pPr>
        <w:jc w:val="center"/>
        <w:rPr>
          <w:rFonts w:cs="Arial"/>
          <w:b/>
          <w:color w:val="000000"/>
        </w:rPr>
      </w:pPr>
      <w:r w:rsidRPr="008C6A72">
        <w:rPr>
          <w:rFonts w:cs="Arial"/>
          <w:b/>
          <w:color w:val="000000"/>
        </w:rPr>
        <w:t>5.106.8</w:t>
      </w:r>
      <w:r w:rsidR="007376F9" w:rsidRPr="008C6A72">
        <w:rPr>
          <w:rFonts w:cs="Arial"/>
          <w:b/>
          <w:color w:val="000000"/>
        </w:rPr>
        <w:t xml:space="preserve"> </w:t>
      </w:r>
      <w:r w:rsidRPr="008C6A72">
        <w:rPr>
          <w:rFonts w:cs="Arial"/>
          <w:b/>
          <w:bCs/>
          <w:spacing w:val="-2"/>
          <w:w w:val="110"/>
        </w:rPr>
        <w:t>Light pollution reduction</w:t>
      </w:r>
    </w:p>
    <w:p w14:paraId="643987FB" w14:textId="77777777" w:rsidR="007376F9" w:rsidRPr="008C6A72" w:rsidRDefault="0010742F" w:rsidP="007376F9">
      <w:pPr>
        <w:jc w:val="center"/>
        <w:rPr>
          <w:rFonts w:cs="Arial"/>
          <w:b/>
          <w:color w:val="000000"/>
        </w:rPr>
      </w:pPr>
      <w:r w:rsidRPr="008C6A72">
        <w:rPr>
          <w:rFonts w:cs="Arial"/>
          <w:b/>
          <w:color w:val="000000"/>
        </w:rPr>
        <w:t>(Mandatory Measures)</w:t>
      </w:r>
    </w:p>
    <w:p w14:paraId="0E228A31" w14:textId="77777777" w:rsidR="00E40DEB" w:rsidRPr="008C6A72" w:rsidRDefault="00E40DEB" w:rsidP="00E40DEB">
      <w:pPr>
        <w:autoSpaceDE w:val="0"/>
        <w:autoSpaceDN w:val="0"/>
        <w:adjustRightInd w:val="0"/>
        <w:jc w:val="center"/>
        <w:rPr>
          <w:rFonts w:cs="Arial"/>
        </w:rPr>
      </w:pPr>
    </w:p>
    <w:p w14:paraId="5E1C43C1" w14:textId="77777777" w:rsidR="00682E72" w:rsidRPr="00A42419" w:rsidRDefault="00E40DEB" w:rsidP="00A42419">
      <w:pPr>
        <w:numPr>
          <w:ilvl w:val="0"/>
          <w:numId w:val="5"/>
        </w:numPr>
        <w:spacing w:line="216" w:lineRule="auto"/>
        <w:rPr>
          <w:rFonts w:cs="Arial"/>
          <w:b/>
        </w:rPr>
      </w:pPr>
      <w:r w:rsidRPr="008C6A72">
        <w:rPr>
          <w:rFonts w:cs="Arial"/>
          <w:b/>
        </w:rPr>
        <w:t>Statement of specific purpose, problem, rationale and benefits:</w:t>
      </w:r>
    </w:p>
    <w:p w14:paraId="7D6027AA" w14:textId="77777777" w:rsidR="00693215" w:rsidRPr="008C6A72" w:rsidRDefault="00C940FC" w:rsidP="00414017">
      <w:pPr>
        <w:ind w:left="630"/>
        <w:rPr>
          <w:rFonts w:cs="Arial"/>
        </w:rPr>
      </w:pPr>
      <w:r>
        <w:rPr>
          <w:rFonts w:cs="Arial"/>
        </w:rPr>
        <w:t>C</w:t>
      </w:r>
      <w:r w:rsidR="00693215" w:rsidRPr="008C6A72">
        <w:rPr>
          <w:rFonts w:cs="Arial"/>
        </w:rPr>
        <w:t>BSC</w:t>
      </w:r>
      <w:r w:rsidR="009B13A0" w:rsidRPr="008C6A72">
        <w:rPr>
          <w:rFonts w:cs="Arial"/>
        </w:rPr>
        <w:t xml:space="preserve">’s </w:t>
      </w:r>
      <w:r w:rsidR="00C43B13">
        <w:rPr>
          <w:rFonts w:cs="Arial"/>
        </w:rPr>
        <w:t>proposes</w:t>
      </w:r>
      <w:r w:rsidR="009B13A0" w:rsidRPr="008C6A72">
        <w:rPr>
          <w:rFonts w:cs="Arial"/>
        </w:rPr>
        <w:t xml:space="preserve"> </w:t>
      </w:r>
      <w:r w:rsidR="001E1C68">
        <w:rPr>
          <w:rFonts w:cs="Arial"/>
        </w:rPr>
        <w:t xml:space="preserve">to strike the </w:t>
      </w:r>
      <w:r w:rsidR="001E1C68" w:rsidRPr="008C6A72">
        <w:rPr>
          <w:rFonts w:cs="Arial"/>
        </w:rPr>
        <w:t>[N]</w:t>
      </w:r>
      <w:r w:rsidR="001E1C68">
        <w:rPr>
          <w:rFonts w:cs="Arial"/>
        </w:rPr>
        <w:t xml:space="preserve"> b</w:t>
      </w:r>
      <w:r w:rsidR="00693215" w:rsidRPr="008C6A72">
        <w:rPr>
          <w:rFonts w:cs="Arial"/>
        </w:rPr>
        <w:t xml:space="preserve">anner </w:t>
      </w:r>
      <w:r w:rsidR="001E1C68">
        <w:rPr>
          <w:rFonts w:cs="Arial"/>
        </w:rPr>
        <w:t>from E</w:t>
      </w:r>
      <w:r w:rsidR="00693215" w:rsidRPr="008C6A72">
        <w:rPr>
          <w:rFonts w:cs="Arial"/>
        </w:rPr>
        <w:t>xceptions</w:t>
      </w:r>
      <w:r w:rsidR="00BF4C2F" w:rsidRPr="008C6A72">
        <w:rPr>
          <w:rFonts w:cs="Arial"/>
        </w:rPr>
        <w:t xml:space="preserve"> </w:t>
      </w:r>
      <w:r w:rsidR="00A13FCE" w:rsidRPr="008C6A72">
        <w:rPr>
          <w:rFonts w:cs="Arial"/>
        </w:rPr>
        <w:t xml:space="preserve">for </w:t>
      </w:r>
      <w:r w:rsidR="009B13A0" w:rsidRPr="008C6A72">
        <w:rPr>
          <w:rFonts w:cs="Arial"/>
        </w:rPr>
        <w:t>consistency and uniformity</w:t>
      </w:r>
      <w:r w:rsidR="00A13FCE" w:rsidRPr="008C6A72">
        <w:rPr>
          <w:rFonts w:cs="Arial"/>
        </w:rPr>
        <w:t xml:space="preserve"> in the code</w:t>
      </w:r>
      <w:r w:rsidR="001D06E3" w:rsidRPr="008C6A72">
        <w:rPr>
          <w:rFonts w:cs="Arial"/>
        </w:rPr>
        <w:t xml:space="preserve"> as the exceptions</w:t>
      </w:r>
      <w:r w:rsidR="00AF2D36" w:rsidRPr="008C6A72">
        <w:rPr>
          <w:rFonts w:cs="Arial"/>
        </w:rPr>
        <w:t xml:space="preserve"> are</w:t>
      </w:r>
      <w:r w:rsidR="001D06E3" w:rsidRPr="008C6A72">
        <w:rPr>
          <w:rFonts w:cs="Arial"/>
        </w:rPr>
        <w:t xml:space="preserve"> not only for new construction</w:t>
      </w:r>
      <w:r w:rsidR="00BF4C2F" w:rsidRPr="008C6A72">
        <w:rPr>
          <w:rFonts w:cs="Arial"/>
        </w:rPr>
        <w:t>.</w:t>
      </w:r>
    </w:p>
    <w:p w14:paraId="6CDE9BD1" w14:textId="77777777" w:rsidR="00127747" w:rsidRPr="008C6A72" w:rsidRDefault="00127747" w:rsidP="00127747">
      <w:pPr>
        <w:ind w:left="630"/>
        <w:rPr>
          <w:rFonts w:cs="Arial"/>
        </w:rPr>
      </w:pPr>
      <w:r>
        <w:rPr>
          <w:rFonts w:cs="Arial"/>
        </w:rPr>
        <w:t xml:space="preserve">This proposed change </w:t>
      </w:r>
      <w:r w:rsidRPr="008C6A72">
        <w:rPr>
          <w:rFonts w:cs="Arial"/>
        </w:rPr>
        <w:t>is necessary for consistency and uniformity in the code as the notes have a provision for additions and alterations</w:t>
      </w:r>
      <w:r>
        <w:rPr>
          <w:rFonts w:cs="Arial"/>
        </w:rPr>
        <w:t>, as well as new construction</w:t>
      </w:r>
      <w:r w:rsidRPr="008C6A72">
        <w:rPr>
          <w:rFonts w:cs="Arial"/>
        </w:rPr>
        <w:t>.</w:t>
      </w:r>
    </w:p>
    <w:p w14:paraId="330C92E5" w14:textId="77777777" w:rsidR="00BF4C2F" w:rsidRPr="008C6A72" w:rsidRDefault="00BF4C2F" w:rsidP="00414017">
      <w:pPr>
        <w:ind w:left="630"/>
        <w:rPr>
          <w:rFonts w:cs="Arial"/>
        </w:rPr>
      </w:pPr>
    </w:p>
    <w:p w14:paraId="046C1950" w14:textId="77777777" w:rsidR="007F40C6" w:rsidRDefault="00C940FC" w:rsidP="00602267">
      <w:pPr>
        <w:ind w:left="630"/>
        <w:rPr>
          <w:rFonts w:cs="Arial"/>
        </w:rPr>
      </w:pPr>
      <w:r>
        <w:rPr>
          <w:rFonts w:cs="Arial"/>
        </w:rPr>
        <w:t>C</w:t>
      </w:r>
      <w:r w:rsidR="00BF4C2F" w:rsidRPr="008C6A72">
        <w:rPr>
          <w:rFonts w:cs="Arial"/>
        </w:rPr>
        <w:t>BSC</w:t>
      </w:r>
      <w:r w:rsidR="00BE2238">
        <w:rPr>
          <w:rFonts w:cs="Arial"/>
        </w:rPr>
        <w:t xml:space="preserve"> proposes</w:t>
      </w:r>
      <w:r w:rsidR="00A13FCE" w:rsidRPr="008C6A72">
        <w:rPr>
          <w:rFonts w:cs="Arial"/>
        </w:rPr>
        <w:t xml:space="preserve"> to amend </w:t>
      </w:r>
      <w:r w:rsidR="00BF4C2F" w:rsidRPr="008C6A72">
        <w:rPr>
          <w:rFonts w:cs="Arial"/>
        </w:rPr>
        <w:t xml:space="preserve">Exception 1 </w:t>
      </w:r>
      <w:r w:rsidR="00682E72" w:rsidRPr="008C6A72">
        <w:rPr>
          <w:rFonts w:cs="Arial"/>
        </w:rPr>
        <w:t>to</w:t>
      </w:r>
      <w:r w:rsidR="00A13FCE" w:rsidRPr="008C6A72">
        <w:rPr>
          <w:rFonts w:cs="Arial"/>
        </w:rPr>
        <w:t xml:space="preserve"> add </w:t>
      </w:r>
      <w:r w:rsidR="00902536">
        <w:rPr>
          <w:rFonts w:cs="Arial"/>
        </w:rPr>
        <w:t>a</w:t>
      </w:r>
      <w:r w:rsidR="005A753D">
        <w:rPr>
          <w:rFonts w:cs="Arial"/>
        </w:rPr>
        <w:t>n</w:t>
      </w:r>
      <w:r w:rsidR="00902536">
        <w:rPr>
          <w:rFonts w:cs="Arial"/>
        </w:rPr>
        <w:t xml:space="preserve"> </w:t>
      </w:r>
      <w:r w:rsidR="005A753D">
        <w:rPr>
          <w:rFonts w:cs="Arial"/>
        </w:rPr>
        <w:t xml:space="preserve">exception for cutoff luminaires </w:t>
      </w:r>
      <w:r w:rsidR="00877740">
        <w:rPr>
          <w:rFonts w:cs="Arial"/>
        </w:rPr>
        <w:t xml:space="preserve">to </w:t>
      </w:r>
      <w:r w:rsidR="008908B0" w:rsidRPr="008C6A72">
        <w:rPr>
          <w:rFonts w:cs="Arial"/>
        </w:rPr>
        <w:t>align</w:t>
      </w:r>
      <w:r w:rsidR="008210D9" w:rsidRPr="008C6A72">
        <w:rPr>
          <w:rFonts w:cs="Arial"/>
        </w:rPr>
        <w:t xml:space="preserve"> </w:t>
      </w:r>
      <w:r w:rsidR="00902536">
        <w:rPr>
          <w:rFonts w:cs="Arial"/>
        </w:rPr>
        <w:t xml:space="preserve">CALGreen </w:t>
      </w:r>
      <w:r w:rsidR="008210D9" w:rsidRPr="008C6A72">
        <w:rPr>
          <w:rFonts w:cs="Arial"/>
        </w:rPr>
        <w:t>with</w:t>
      </w:r>
      <w:r w:rsidR="005B6930" w:rsidRPr="008C6A72">
        <w:rPr>
          <w:rFonts w:cs="Arial"/>
        </w:rPr>
        <w:t xml:space="preserve"> </w:t>
      </w:r>
      <w:r w:rsidR="00414017" w:rsidRPr="008C6A72">
        <w:rPr>
          <w:rFonts w:cs="Arial"/>
        </w:rPr>
        <w:t>the BUG requirements</w:t>
      </w:r>
      <w:r w:rsidR="005B6930" w:rsidRPr="008C6A72">
        <w:rPr>
          <w:rFonts w:cs="Arial"/>
        </w:rPr>
        <w:t xml:space="preserve"> and exceptions </w:t>
      </w:r>
      <w:r w:rsidR="00414017" w:rsidRPr="008C6A72">
        <w:rPr>
          <w:rFonts w:cs="Arial"/>
        </w:rPr>
        <w:t xml:space="preserve">adopted </w:t>
      </w:r>
      <w:r w:rsidR="00B51EE2" w:rsidRPr="008C6A72">
        <w:rPr>
          <w:rFonts w:cs="Arial"/>
        </w:rPr>
        <w:t>in</w:t>
      </w:r>
      <w:r w:rsidR="00877740">
        <w:rPr>
          <w:rFonts w:cs="Arial"/>
        </w:rPr>
        <w:t>to</w:t>
      </w:r>
      <w:r w:rsidR="00B51EE2" w:rsidRPr="008C6A72">
        <w:rPr>
          <w:rFonts w:cs="Arial"/>
        </w:rPr>
        <w:t xml:space="preserve"> </w:t>
      </w:r>
      <w:r w:rsidR="00877740" w:rsidRPr="008C6A72">
        <w:rPr>
          <w:rFonts w:cs="Arial"/>
        </w:rPr>
        <w:t>Section 130.2(b)</w:t>
      </w:r>
      <w:r w:rsidR="00877740">
        <w:rPr>
          <w:rFonts w:cs="Arial"/>
        </w:rPr>
        <w:t xml:space="preserve"> </w:t>
      </w:r>
      <w:r w:rsidR="00602267">
        <w:rPr>
          <w:rFonts w:cs="Arial"/>
        </w:rPr>
        <w:t xml:space="preserve">of </w:t>
      </w:r>
      <w:r w:rsidR="00414017" w:rsidRPr="008C6A72">
        <w:rPr>
          <w:rFonts w:cs="Arial"/>
        </w:rPr>
        <w:t>Title 24, Part 6</w:t>
      </w:r>
      <w:r w:rsidR="003155D4" w:rsidRPr="008C6A72">
        <w:rPr>
          <w:rFonts w:cs="Arial"/>
        </w:rPr>
        <w:t>,</w:t>
      </w:r>
      <w:r w:rsidR="003155D4" w:rsidRPr="008C6A72">
        <w:rPr>
          <w:rFonts w:cs="Arial"/>
          <w:i/>
        </w:rPr>
        <w:t xml:space="preserve"> 2019 California Energy Code</w:t>
      </w:r>
      <w:r w:rsidR="00602267">
        <w:rPr>
          <w:rFonts w:cs="Arial"/>
        </w:rPr>
        <w:t>.</w:t>
      </w:r>
    </w:p>
    <w:p w14:paraId="4213B56E" w14:textId="77777777" w:rsidR="00602267" w:rsidRPr="008C6A72" w:rsidRDefault="00602267" w:rsidP="00602267">
      <w:pPr>
        <w:ind w:left="630"/>
        <w:rPr>
          <w:rFonts w:cs="Arial"/>
        </w:rPr>
      </w:pPr>
    </w:p>
    <w:p w14:paraId="09240C9D" w14:textId="77777777" w:rsidR="005618D3" w:rsidRDefault="00C940FC" w:rsidP="005618D3">
      <w:pPr>
        <w:ind w:left="630"/>
        <w:rPr>
          <w:rFonts w:cs="Arial"/>
        </w:rPr>
      </w:pPr>
      <w:r>
        <w:rPr>
          <w:rFonts w:cs="Arial"/>
        </w:rPr>
        <w:t>C</w:t>
      </w:r>
      <w:r w:rsidR="007F40C6" w:rsidRPr="008C6A72">
        <w:rPr>
          <w:rFonts w:cs="Arial"/>
        </w:rPr>
        <w:t>BSC</w:t>
      </w:r>
      <w:r w:rsidR="00602267">
        <w:rPr>
          <w:rFonts w:cs="Arial"/>
        </w:rPr>
        <w:t xml:space="preserve"> proposes</w:t>
      </w:r>
      <w:r w:rsidR="00A65FCA" w:rsidRPr="008C6A72">
        <w:rPr>
          <w:rFonts w:cs="Arial"/>
        </w:rPr>
        <w:t xml:space="preserve"> to add </w:t>
      </w:r>
      <w:r w:rsidR="00200C69" w:rsidRPr="008C6A72">
        <w:rPr>
          <w:rFonts w:cs="Arial"/>
        </w:rPr>
        <w:t>E</w:t>
      </w:r>
      <w:r w:rsidR="00A65FCA" w:rsidRPr="008C6A72">
        <w:rPr>
          <w:rFonts w:cs="Arial"/>
        </w:rPr>
        <w:t>xception 5</w:t>
      </w:r>
      <w:r w:rsidR="005B6930" w:rsidRPr="008C6A72">
        <w:rPr>
          <w:rFonts w:cs="Arial"/>
        </w:rPr>
        <w:t>,</w:t>
      </w:r>
      <w:r w:rsidR="00991241" w:rsidRPr="008C6A72">
        <w:rPr>
          <w:rFonts w:cs="Arial"/>
        </w:rPr>
        <w:t xml:space="preserve"> for </w:t>
      </w:r>
      <w:r w:rsidR="009B58B1" w:rsidRPr="008C6A72">
        <w:rPr>
          <w:rFonts w:cs="Arial"/>
        </w:rPr>
        <w:t>“Lu</w:t>
      </w:r>
      <w:r w:rsidR="007F40C6" w:rsidRPr="008C6A72">
        <w:rPr>
          <w:rFonts w:cs="Arial"/>
        </w:rPr>
        <w:t>minaries with less than 6,200 initial luminaire lumens</w:t>
      </w:r>
      <w:r w:rsidR="009B58B1" w:rsidRPr="008C6A72">
        <w:rPr>
          <w:rFonts w:cs="Arial"/>
        </w:rPr>
        <w:t>”</w:t>
      </w:r>
      <w:r w:rsidR="00EB1AE3" w:rsidRPr="008C6A72">
        <w:rPr>
          <w:rFonts w:cs="Arial"/>
        </w:rPr>
        <w:t xml:space="preserve"> </w:t>
      </w:r>
      <w:r w:rsidR="00602267">
        <w:rPr>
          <w:rFonts w:cs="Arial"/>
        </w:rPr>
        <w:t>to</w:t>
      </w:r>
      <w:r w:rsidR="007F40C6" w:rsidRPr="008C6A72">
        <w:rPr>
          <w:rFonts w:cs="Arial"/>
        </w:rPr>
        <w:t xml:space="preserve"> align</w:t>
      </w:r>
      <w:r w:rsidR="00440061">
        <w:rPr>
          <w:rFonts w:cs="Arial"/>
        </w:rPr>
        <w:t xml:space="preserve"> CALGreen</w:t>
      </w:r>
      <w:r w:rsidR="001F3036" w:rsidRPr="008C6A72">
        <w:rPr>
          <w:rFonts w:cs="Arial"/>
        </w:rPr>
        <w:t xml:space="preserve"> </w:t>
      </w:r>
      <w:r w:rsidR="006268D1" w:rsidRPr="008C6A72">
        <w:rPr>
          <w:rFonts w:cs="Arial"/>
        </w:rPr>
        <w:t xml:space="preserve">with </w:t>
      </w:r>
      <w:r w:rsidR="00800677" w:rsidRPr="008C6A72">
        <w:rPr>
          <w:rFonts w:cs="Arial"/>
        </w:rPr>
        <w:t>similar language adopted</w:t>
      </w:r>
      <w:r w:rsidR="003155D4" w:rsidRPr="008C6A72">
        <w:rPr>
          <w:rFonts w:cs="Arial"/>
        </w:rPr>
        <w:t xml:space="preserve"> in the</w:t>
      </w:r>
      <w:r w:rsidR="003155D4" w:rsidRPr="008C6A72">
        <w:rPr>
          <w:rFonts w:cs="Arial"/>
          <w:i/>
        </w:rPr>
        <w:t xml:space="preserve"> 2019 California Energy Code </w:t>
      </w:r>
      <w:r w:rsidR="00200C69" w:rsidRPr="008C6A72">
        <w:rPr>
          <w:rFonts w:cs="Arial"/>
        </w:rPr>
        <w:t>Section 130.2(b)</w:t>
      </w:r>
      <w:r w:rsidR="009B58B1" w:rsidRPr="008C6A72">
        <w:rPr>
          <w:rFonts w:cs="Arial"/>
        </w:rPr>
        <w:t>,</w:t>
      </w:r>
      <w:r w:rsidR="00403E5B" w:rsidRPr="008C6A72">
        <w:rPr>
          <w:rFonts w:cs="Arial"/>
        </w:rPr>
        <w:t xml:space="preserve"> </w:t>
      </w:r>
      <w:r w:rsidR="00200C69" w:rsidRPr="008C6A72">
        <w:rPr>
          <w:rFonts w:cs="Arial"/>
        </w:rPr>
        <w:t>Luminaire cutoff requirements</w:t>
      </w:r>
      <w:r w:rsidR="00800677" w:rsidRPr="008C6A72">
        <w:rPr>
          <w:rFonts w:cs="Arial"/>
        </w:rPr>
        <w:t xml:space="preserve">. </w:t>
      </w:r>
      <w:r w:rsidR="005618D3" w:rsidRPr="008C6A72">
        <w:rPr>
          <w:rFonts w:cs="Arial"/>
        </w:rPr>
        <w:t>The purpose of the new</w:t>
      </w:r>
      <w:r w:rsidR="005618D3">
        <w:rPr>
          <w:rFonts w:cs="Arial"/>
        </w:rPr>
        <w:t xml:space="preserve"> e</w:t>
      </w:r>
      <w:r w:rsidR="005618D3" w:rsidRPr="008C6A72">
        <w:rPr>
          <w:rFonts w:cs="Arial"/>
        </w:rPr>
        <w:t xml:space="preserve">xception </w:t>
      </w:r>
      <w:r w:rsidR="005618D3">
        <w:rPr>
          <w:rFonts w:cs="Arial"/>
        </w:rPr>
        <w:t xml:space="preserve">5 </w:t>
      </w:r>
      <w:r w:rsidR="005618D3" w:rsidRPr="008C6A72">
        <w:rPr>
          <w:rFonts w:cs="Arial"/>
        </w:rPr>
        <w:t>is to align the scope of Part 11</w:t>
      </w:r>
      <w:r w:rsidR="005618D3">
        <w:rPr>
          <w:rFonts w:cs="Arial"/>
        </w:rPr>
        <w:t xml:space="preserve">, Section 5.106.8 </w:t>
      </w:r>
      <w:r w:rsidR="005618D3" w:rsidRPr="008C6A72">
        <w:rPr>
          <w:rFonts w:cs="Arial"/>
        </w:rPr>
        <w:t>to the scope of similar provisi</w:t>
      </w:r>
      <w:r w:rsidR="005618D3">
        <w:rPr>
          <w:rFonts w:cs="Arial"/>
        </w:rPr>
        <w:t>ons in Part 6, Section 130.2(b).  L</w:t>
      </w:r>
      <w:r w:rsidR="005618D3" w:rsidRPr="008C6A72">
        <w:rPr>
          <w:rFonts w:cs="Arial"/>
        </w:rPr>
        <w:t>ight pollution provisions were first adopted into Part 6 and later moved into Part 11.  To the extent that the language in Part 11 could have been understood to be more broad in application than that in Part 6, this change has the material effect of narrowing the application of these requirements to luminaires within the scope of the Part 6 provisions. This change is necessary to prev</w:t>
      </w:r>
      <w:r w:rsidR="005618D3">
        <w:rPr>
          <w:rFonts w:cs="Arial"/>
        </w:rPr>
        <w:t>ent a conflict between the scoping provisions</w:t>
      </w:r>
      <w:r w:rsidR="005618D3" w:rsidRPr="008C6A72">
        <w:rPr>
          <w:rFonts w:cs="Arial"/>
        </w:rPr>
        <w:t xml:space="preserve"> of light pollution in Parts 6 and 11; the scop</w:t>
      </w:r>
      <w:r w:rsidR="005618D3">
        <w:rPr>
          <w:rFonts w:cs="Arial"/>
        </w:rPr>
        <w:t xml:space="preserve">ing </w:t>
      </w:r>
      <w:r w:rsidR="005618D3" w:rsidRPr="008C6A72">
        <w:rPr>
          <w:rFonts w:cs="Arial"/>
        </w:rPr>
        <w:t>provisions in Part 11</w:t>
      </w:r>
      <w:r w:rsidR="005618D3">
        <w:rPr>
          <w:rFonts w:cs="Arial"/>
        </w:rPr>
        <w:t xml:space="preserve"> are</w:t>
      </w:r>
      <w:r w:rsidR="005618D3" w:rsidRPr="008C6A72">
        <w:rPr>
          <w:rFonts w:cs="Arial"/>
        </w:rPr>
        <w:t xml:space="preserve"> intended to reflect the scop</w:t>
      </w:r>
      <w:r w:rsidR="005618D3">
        <w:rPr>
          <w:rFonts w:cs="Arial"/>
        </w:rPr>
        <w:t>ing</w:t>
      </w:r>
      <w:r w:rsidR="005618D3" w:rsidRPr="008C6A72">
        <w:rPr>
          <w:rFonts w:cs="Arial"/>
        </w:rPr>
        <w:t xml:space="preserve"> provisions in Part 6. </w:t>
      </w:r>
    </w:p>
    <w:p w14:paraId="470499BC" w14:textId="77777777" w:rsidR="0044389D" w:rsidRPr="008C6A72" w:rsidRDefault="0044389D" w:rsidP="00C95E4A">
      <w:pPr>
        <w:rPr>
          <w:rFonts w:cs="Arial"/>
        </w:rPr>
      </w:pPr>
    </w:p>
    <w:p w14:paraId="168A8BB4" w14:textId="77777777" w:rsidR="00EB1413" w:rsidRPr="008C6A72" w:rsidRDefault="00C940FC" w:rsidP="00B64934">
      <w:pPr>
        <w:ind w:left="630"/>
        <w:rPr>
          <w:rFonts w:cs="Arial"/>
        </w:rPr>
      </w:pPr>
      <w:r>
        <w:rPr>
          <w:rFonts w:cs="Arial"/>
        </w:rPr>
        <w:t>C</w:t>
      </w:r>
      <w:r w:rsidR="00BB0C3B">
        <w:rPr>
          <w:rFonts w:cs="Arial"/>
        </w:rPr>
        <w:t>BSC proposes</w:t>
      </w:r>
      <w:r w:rsidR="003C05DD">
        <w:rPr>
          <w:rFonts w:cs="Arial"/>
        </w:rPr>
        <w:t xml:space="preserve"> to </w:t>
      </w:r>
      <w:r w:rsidR="00197ED9">
        <w:rPr>
          <w:rFonts w:cs="Arial"/>
        </w:rPr>
        <w:t xml:space="preserve">repeal </w:t>
      </w:r>
      <w:r w:rsidR="00197ED9" w:rsidRPr="008C6A72">
        <w:rPr>
          <w:rFonts w:cs="Arial"/>
        </w:rPr>
        <w:t>footnotes</w:t>
      </w:r>
      <w:r w:rsidR="00197ED9">
        <w:rPr>
          <w:rFonts w:cs="Arial"/>
        </w:rPr>
        <w:t xml:space="preserve"> 3 and 5</w:t>
      </w:r>
      <w:r w:rsidR="00197ED9" w:rsidRPr="008C6A72">
        <w:rPr>
          <w:rFonts w:cs="Arial"/>
        </w:rPr>
        <w:t xml:space="preserve"> from Table 5.106.8</w:t>
      </w:r>
      <w:r w:rsidR="00197ED9">
        <w:rPr>
          <w:rFonts w:cs="Arial"/>
        </w:rPr>
        <w:t xml:space="preserve"> and relocate</w:t>
      </w:r>
      <w:r w:rsidR="00197ED9" w:rsidRPr="008C6A72">
        <w:rPr>
          <w:rFonts w:cs="Arial"/>
        </w:rPr>
        <w:t xml:space="preserve"> </w:t>
      </w:r>
      <w:r w:rsidR="00197ED9">
        <w:rPr>
          <w:rFonts w:cs="Arial"/>
        </w:rPr>
        <w:t xml:space="preserve">them </w:t>
      </w:r>
      <w:r w:rsidR="00197ED9" w:rsidRPr="008C6A72">
        <w:rPr>
          <w:rFonts w:cs="Arial"/>
        </w:rPr>
        <w:t xml:space="preserve">into two new </w:t>
      </w:r>
      <w:r w:rsidR="00197ED9">
        <w:rPr>
          <w:rFonts w:cs="Arial"/>
        </w:rPr>
        <w:t xml:space="preserve">code </w:t>
      </w:r>
      <w:r w:rsidR="00197ED9" w:rsidRPr="008C6A72">
        <w:rPr>
          <w:rFonts w:cs="Arial"/>
        </w:rPr>
        <w:t>Sections</w:t>
      </w:r>
      <w:r w:rsidR="00197ED9">
        <w:rPr>
          <w:rFonts w:cs="Arial"/>
        </w:rPr>
        <w:t xml:space="preserve"> </w:t>
      </w:r>
      <w:r w:rsidR="00C10515">
        <w:rPr>
          <w:rFonts w:cs="Arial"/>
        </w:rPr>
        <w:t xml:space="preserve">5.106.8.1 with exception </w:t>
      </w:r>
      <w:r w:rsidR="00E958AB" w:rsidRPr="008C6A72">
        <w:rPr>
          <w:rFonts w:cs="Arial"/>
        </w:rPr>
        <w:t xml:space="preserve">and </w:t>
      </w:r>
      <w:r w:rsidR="00BB0C3B">
        <w:rPr>
          <w:rFonts w:cs="Arial"/>
        </w:rPr>
        <w:t xml:space="preserve">Section </w:t>
      </w:r>
      <w:r w:rsidR="005E4DA0">
        <w:rPr>
          <w:rFonts w:cs="Arial"/>
        </w:rPr>
        <w:t>5.106.8.2. This amendment</w:t>
      </w:r>
      <w:r w:rsidR="00EB1413" w:rsidRPr="008C6A72">
        <w:rPr>
          <w:rFonts w:cs="Arial"/>
        </w:rPr>
        <w:t xml:space="preserve"> </w:t>
      </w:r>
      <w:r w:rsidR="005E4DA0">
        <w:rPr>
          <w:rFonts w:cs="Arial"/>
        </w:rPr>
        <w:t xml:space="preserve">will add </w:t>
      </w:r>
      <w:r w:rsidR="00EB1413" w:rsidRPr="008C6A72">
        <w:rPr>
          <w:rFonts w:cs="Arial"/>
        </w:rPr>
        <w:t xml:space="preserve">clarify </w:t>
      </w:r>
      <w:r w:rsidR="005E4DA0">
        <w:rPr>
          <w:rFonts w:cs="Arial"/>
        </w:rPr>
        <w:t xml:space="preserve">for </w:t>
      </w:r>
      <w:r w:rsidR="00EB1413" w:rsidRPr="008C6A72">
        <w:rPr>
          <w:rFonts w:cs="Arial"/>
        </w:rPr>
        <w:t xml:space="preserve">their application and intent.  To the extent that the original language was ambiguous regarding when increases in stringency of </w:t>
      </w:r>
      <w:r w:rsidR="00EB1413" w:rsidRPr="008C6A72">
        <w:rPr>
          <w:rFonts w:cs="Arial"/>
        </w:rPr>
        <w:lastRenderedPageBreak/>
        <w:t>backlight and glare would apply</w:t>
      </w:r>
      <w:r>
        <w:rPr>
          <w:rFonts w:cs="Arial"/>
        </w:rPr>
        <w:t>,</w:t>
      </w:r>
      <w:r w:rsidR="00EB1413" w:rsidRPr="008C6A72">
        <w:rPr>
          <w:rFonts w:cs="Arial"/>
        </w:rPr>
        <w:t xml:space="preserve"> and how luminaire facing was to be addressed, this change has the material effect of ensuring that increased requirements do not apply to luminaires located more than two mounting heights away from property lines, and precluding illogical facing of luminaires located close to property boundarie</w:t>
      </w:r>
      <w:r w:rsidR="005167C8">
        <w:rPr>
          <w:rFonts w:cs="Arial"/>
        </w:rPr>
        <w:t xml:space="preserve">s. </w:t>
      </w:r>
      <w:r w:rsidR="003C05DD">
        <w:rPr>
          <w:rFonts w:cs="Arial"/>
        </w:rPr>
        <w:t>The changes to this s</w:t>
      </w:r>
      <w:r w:rsidR="00EB1413" w:rsidRPr="008C6A72">
        <w:rPr>
          <w:rFonts w:cs="Arial"/>
        </w:rPr>
        <w:t>ection are necessary to align the</w:t>
      </w:r>
      <w:r w:rsidR="00122A12" w:rsidRPr="008C6A72">
        <w:rPr>
          <w:rFonts w:cs="Arial"/>
        </w:rPr>
        <w:t xml:space="preserve"> application of Section 5.106.8</w:t>
      </w:r>
      <w:r w:rsidR="005167C8">
        <w:rPr>
          <w:rFonts w:cs="Arial"/>
        </w:rPr>
        <w:t xml:space="preserve"> </w:t>
      </w:r>
      <w:r w:rsidR="00EB1413" w:rsidRPr="008C6A72">
        <w:rPr>
          <w:rFonts w:cs="Arial"/>
        </w:rPr>
        <w:t xml:space="preserve">to the intent of </w:t>
      </w:r>
      <w:r>
        <w:rPr>
          <w:rFonts w:cs="Arial"/>
        </w:rPr>
        <w:t>the</w:t>
      </w:r>
      <w:r w:rsidR="00EB1413" w:rsidRPr="008C6A72">
        <w:rPr>
          <w:rFonts w:cs="Arial"/>
        </w:rPr>
        <w:t xml:space="preserve"> original </w:t>
      </w:r>
      <w:r w:rsidR="003C05DD">
        <w:rPr>
          <w:rFonts w:cs="Arial"/>
        </w:rPr>
        <w:t>code language</w:t>
      </w:r>
      <w:r w:rsidR="00EB1413" w:rsidRPr="008C6A72">
        <w:rPr>
          <w:rFonts w:cs="Arial"/>
        </w:rPr>
        <w:t xml:space="preserve"> and </w:t>
      </w:r>
      <w:r>
        <w:rPr>
          <w:rFonts w:cs="Arial"/>
        </w:rPr>
        <w:t xml:space="preserve">to ensure the requirements </w:t>
      </w:r>
      <w:r w:rsidR="00EB1413" w:rsidRPr="008C6A72">
        <w:rPr>
          <w:rFonts w:cs="Arial"/>
        </w:rPr>
        <w:t>comply with backlight and glare ratings</w:t>
      </w:r>
      <w:r w:rsidR="00892498">
        <w:rPr>
          <w:rFonts w:cs="Arial"/>
        </w:rPr>
        <w:t>, but</w:t>
      </w:r>
      <w:r w:rsidR="00EB1413" w:rsidRPr="008C6A72">
        <w:rPr>
          <w:rFonts w:cs="Arial"/>
        </w:rPr>
        <w:t xml:space="preserve"> do not apply when they would not be of benefit.</w:t>
      </w:r>
    </w:p>
    <w:p w14:paraId="5C1E3A07" w14:textId="77777777" w:rsidR="006F79DE" w:rsidRPr="008C6A72" w:rsidRDefault="006F79DE" w:rsidP="00C95E4A">
      <w:pPr>
        <w:rPr>
          <w:rFonts w:cs="Arial"/>
        </w:rPr>
      </w:pPr>
    </w:p>
    <w:p w14:paraId="0EA4FCE2" w14:textId="77777777" w:rsidR="00C3226D" w:rsidRPr="008C6A72" w:rsidRDefault="00F33E29" w:rsidP="00C4135A">
      <w:pPr>
        <w:ind w:left="630"/>
        <w:rPr>
          <w:rFonts w:cs="Arial"/>
        </w:rPr>
      </w:pPr>
      <w:r>
        <w:rPr>
          <w:rFonts w:cs="Arial"/>
        </w:rPr>
        <w:t>C</w:t>
      </w:r>
      <w:r w:rsidR="006F79DE" w:rsidRPr="008C6A72">
        <w:rPr>
          <w:rFonts w:cs="Arial"/>
        </w:rPr>
        <w:t xml:space="preserve">BSC’s proposed amendments will benefit the code user by clarifying the exceptions to the requirements of light pollution reduction by avoiding conflict with mandatory provisions of </w:t>
      </w:r>
      <w:r w:rsidR="0069506B" w:rsidRPr="008C6A72">
        <w:rPr>
          <w:rFonts w:cs="Arial"/>
        </w:rPr>
        <w:t>California Energy Code</w:t>
      </w:r>
      <w:r w:rsidR="006F79DE" w:rsidRPr="008C6A72">
        <w:rPr>
          <w:rFonts w:cs="Arial"/>
        </w:rPr>
        <w:t xml:space="preserve"> for newly constructed nonresidential buildings, additions and alterations. </w:t>
      </w:r>
      <w:r w:rsidR="00893409" w:rsidRPr="008C6A72">
        <w:rPr>
          <w:rFonts w:cs="Arial"/>
        </w:rPr>
        <w:t>Additionally, the new code</w:t>
      </w:r>
      <w:r w:rsidR="00C4135A" w:rsidRPr="008C6A72">
        <w:rPr>
          <w:rFonts w:cs="Arial"/>
        </w:rPr>
        <w:t xml:space="preserve"> sections will help clarify the application and intent of how backlight and glare are to be </w:t>
      </w:r>
      <w:r w:rsidR="00821C43">
        <w:rPr>
          <w:rFonts w:cs="Arial"/>
        </w:rPr>
        <w:t>addressed</w:t>
      </w:r>
      <w:r w:rsidR="00C4135A" w:rsidRPr="008C6A72">
        <w:rPr>
          <w:rFonts w:cs="Arial"/>
        </w:rPr>
        <w:t xml:space="preserve"> </w:t>
      </w:r>
      <w:r w:rsidR="006D4531">
        <w:rPr>
          <w:rFonts w:cs="Arial"/>
        </w:rPr>
        <w:t xml:space="preserve">when located </w:t>
      </w:r>
      <w:r w:rsidR="00C4135A" w:rsidRPr="008C6A72">
        <w:rPr>
          <w:rFonts w:cs="Arial"/>
        </w:rPr>
        <w:t>near property lines.</w:t>
      </w:r>
    </w:p>
    <w:p w14:paraId="6A861183" w14:textId="77777777" w:rsidR="0015732D" w:rsidRPr="008C6A72" w:rsidRDefault="0015732D" w:rsidP="00A6611D">
      <w:pPr>
        <w:rPr>
          <w:rFonts w:cs="Arial"/>
          <w:b/>
        </w:rPr>
      </w:pPr>
    </w:p>
    <w:p w14:paraId="345ABD43" w14:textId="77777777" w:rsidR="00943EAD" w:rsidRPr="008C6A72" w:rsidRDefault="00820AC5" w:rsidP="00943EAD">
      <w:pPr>
        <w:rPr>
          <w:rFonts w:cs="Arial"/>
        </w:rPr>
      </w:pPr>
      <w:r w:rsidRPr="008C6A72">
        <w:rPr>
          <w:rFonts w:cs="Arial"/>
          <w:b/>
        </w:rPr>
        <w:t>5.106.8 Light pollution reduction. [N]</w:t>
      </w:r>
      <w:r w:rsidRPr="008C6A72">
        <w:rPr>
          <w:rFonts w:cs="Arial"/>
        </w:rPr>
        <w:t xml:space="preserve"> Outdoor lighting systems shall be designed and installed to comply with the following:</w:t>
      </w:r>
    </w:p>
    <w:p w14:paraId="181B71AF" w14:textId="77777777" w:rsidR="00943EAD" w:rsidRPr="008C6A72" w:rsidRDefault="00943EAD" w:rsidP="00943EAD">
      <w:pPr>
        <w:rPr>
          <w:rFonts w:cs="Arial"/>
        </w:rPr>
      </w:pPr>
    </w:p>
    <w:p w14:paraId="6FE4FED8" w14:textId="2B36EF63" w:rsidR="00820AC5" w:rsidRPr="008C6A72" w:rsidRDefault="00CC0813" w:rsidP="00475ED8">
      <w:pPr>
        <w:numPr>
          <w:ilvl w:val="0"/>
          <w:numId w:val="28"/>
        </w:numPr>
        <w:rPr>
          <w:rFonts w:cs="Arial"/>
        </w:rPr>
      </w:pPr>
      <w:r w:rsidRPr="008C6A72">
        <w:rPr>
          <w:rFonts w:cs="Arial"/>
        </w:rPr>
        <w:t xml:space="preserve">The minimum requirements in the </w:t>
      </w:r>
      <w:r w:rsidRPr="003C0760">
        <w:rPr>
          <w:rFonts w:cs="Arial"/>
          <w:i/>
        </w:rPr>
        <w:t>California Energy Code</w:t>
      </w:r>
      <w:r w:rsidR="00A04ED4">
        <w:rPr>
          <w:rFonts w:cs="Arial"/>
        </w:rPr>
        <w:t xml:space="preserve"> </w:t>
      </w:r>
      <w:proofErr w:type="gramStart"/>
      <w:r w:rsidR="00EB5F67" w:rsidRPr="008C6A72">
        <w:rPr>
          <w:rFonts w:cs="Arial"/>
          <w:b/>
        </w:rPr>
        <w:t>. . .</w:t>
      </w:r>
      <w:r w:rsidR="0010124C" w:rsidRPr="008C6A72">
        <w:rPr>
          <w:rFonts w:cs="Arial"/>
          <w:b/>
        </w:rPr>
        <w:t xml:space="preserve"> ;</w:t>
      </w:r>
      <w:proofErr w:type="gramEnd"/>
      <w:r w:rsidR="0010124C" w:rsidRPr="008C6A72">
        <w:rPr>
          <w:rFonts w:cs="Arial"/>
          <w:b/>
        </w:rPr>
        <w:t xml:space="preserve"> </w:t>
      </w:r>
      <w:r w:rsidR="0010124C" w:rsidRPr="008C6A72">
        <w:rPr>
          <w:rFonts w:cs="Arial"/>
        </w:rPr>
        <w:t>and</w:t>
      </w:r>
    </w:p>
    <w:p w14:paraId="3F118E1E" w14:textId="27E7431C" w:rsidR="00CC0813" w:rsidRPr="008C6A72" w:rsidRDefault="00221A54" w:rsidP="00475ED8">
      <w:pPr>
        <w:numPr>
          <w:ilvl w:val="0"/>
          <w:numId w:val="28"/>
        </w:numPr>
        <w:rPr>
          <w:rFonts w:cs="Arial"/>
          <w:b/>
        </w:rPr>
      </w:pPr>
      <w:r w:rsidRPr="008C6A72">
        <w:rPr>
          <w:rFonts w:cs="Arial"/>
        </w:rPr>
        <w:t>Backlight (B) ratings as defined in IES TM-15-11</w:t>
      </w:r>
      <w:r w:rsidR="00A04ED4">
        <w:rPr>
          <w:rFonts w:cs="Arial"/>
        </w:rPr>
        <w:t xml:space="preserve"> </w:t>
      </w:r>
      <w:proofErr w:type="gramStart"/>
      <w:r w:rsidRPr="008C6A72">
        <w:rPr>
          <w:rFonts w:cs="Arial"/>
          <w:b/>
        </w:rPr>
        <w:t>. . .</w:t>
      </w:r>
      <w:r w:rsidR="0010124C" w:rsidRPr="008C6A72">
        <w:rPr>
          <w:rFonts w:cs="Arial"/>
          <w:b/>
        </w:rPr>
        <w:t xml:space="preserve"> ;</w:t>
      </w:r>
      <w:proofErr w:type="gramEnd"/>
    </w:p>
    <w:p w14:paraId="1F85F33C" w14:textId="6E064184" w:rsidR="00820AC5" w:rsidRPr="008C6A72" w:rsidRDefault="00CC0813" w:rsidP="00475ED8">
      <w:pPr>
        <w:numPr>
          <w:ilvl w:val="0"/>
          <w:numId w:val="28"/>
        </w:numPr>
        <w:rPr>
          <w:rFonts w:cs="Arial"/>
        </w:rPr>
      </w:pPr>
      <w:proofErr w:type="spellStart"/>
      <w:r w:rsidRPr="008C6A72">
        <w:rPr>
          <w:rFonts w:cs="Arial"/>
        </w:rPr>
        <w:t>Uplight</w:t>
      </w:r>
      <w:proofErr w:type="spellEnd"/>
      <w:r w:rsidRPr="008C6A72">
        <w:rPr>
          <w:rFonts w:cs="Arial"/>
        </w:rPr>
        <w:t xml:space="preserve"> and Glare ratings </w:t>
      </w:r>
      <w:r w:rsidR="00EB5F67" w:rsidRPr="008C6A72">
        <w:rPr>
          <w:rFonts w:cs="Arial"/>
          <w:b/>
        </w:rPr>
        <w:t>. . .</w:t>
      </w:r>
      <w:r w:rsidR="0010124C" w:rsidRPr="008C6A72">
        <w:rPr>
          <w:rFonts w:cs="Arial"/>
          <w:b/>
        </w:rPr>
        <w:t xml:space="preserve"> </w:t>
      </w:r>
      <w:r w:rsidR="0010124C" w:rsidRPr="008C6A72">
        <w:rPr>
          <w:rFonts w:cs="Arial"/>
        </w:rPr>
        <w:t>and</w:t>
      </w:r>
    </w:p>
    <w:p w14:paraId="70D11292" w14:textId="010C5593" w:rsidR="00820AC5" w:rsidRPr="008C6A72" w:rsidRDefault="00CC0813" w:rsidP="00475ED8">
      <w:pPr>
        <w:numPr>
          <w:ilvl w:val="0"/>
          <w:numId w:val="28"/>
        </w:numPr>
        <w:rPr>
          <w:rFonts w:cs="Arial"/>
        </w:rPr>
      </w:pPr>
      <w:r w:rsidRPr="008C6A72">
        <w:rPr>
          <w:rFonts w:cs="Arial"/>
        </w:rPr>
        <w:t xml:space="preserve">Allowable BUG ratings not exceeding those shown in Table 5.106.8 </w:t>
      </w:r>
      <w:proofErr w:type="gramStart"/>
      <w:r w:rsidR="00EB5F67" w:rsidRPr="008C6A72">
        <w:rPr>
          <w:rFonts w:cs="Arial"/>
          <w:b/>
        </w:rPr>
        <w:t>. . .</w:t>
      </w:r>
      <w:r w:rsidR="00A65FCA" w:rsidRPr="008C6A72">
        <w:rPr>
          <w:rFonts w:cs="Arial"/>
          <w:b/>
        </w:rPr>
        <w:t xml:space="preserve"> ,</w:t>
      </w:r>
      <w:proofErr w:type="gramEnd"/>
      <w:r w:rsidR="00943EAD" w:rsidRPr="008C6A72">
        <w:rPr>
          <w:rFonts w:cs="Arial"/>
          <w:b/>
        </w:rPr>
        <w:t xml:space="preserve"> </w:t>
      </w:r>
      <w:r w:rsidR="00943EAD" w:rsidRPr="008C6A72">
        <w:rPr>
          <w:rFonts w:cs="Arial"/>
        </w:rPr>
        <w:t>or</w:t>
      </w:r>
    </w:p>
    <w:p w14:paraId="1FC259B6" w14:textId="77777777" w:rsidR="00A65FCA" w:rsidRPr="008C6A72" w:rsidRDefault="00A65FCA" w:rsidP="00D5562D">
      <w:pPr>
        <w:ind w:left="360"/>
        <w:rPr>
          <w:rFonts w:cs="Arial"/>
        </w:rPr>
      </w:pPr>
    </w:p>
    <w:p w14:paraId="7DF85987" w14:textId="77777777" w:rsidR="00820AC5" w:rsidRPr="008C6A72" w:rsidRDefault="00943EAD" w:rsidP="00D5562D">
      <w:pPr>
        <w:ind w:left="360"/>
        <w:rPr>
          <w:rFonts w:cs="Arial"/>
        </w:rPr>
      </w:pPr>
      <w:r w:rsidRPr="008C6A72">
        <w:rPr>
          <w:rFonts w:cs="Arial"/>
        </w:rPr>
        <w:t>Comply with a local ordinance lawfully enacted pursuant</w:t>
      </w:r>
      <w:r w:rsidR="0010124C" w:rsidRPr="008C6A72">
        <w:rPr>
          <w:rFonts w:cs="Arial"/>
        </w:rPr>
        <w:t xml:space="preserve"> </w:t>
      </w:r>
      <w:r w:rsidRPr="008C6A72">
        <w:rPr>
          <w:rFonts w:cs="Arial"/>
        </w:rPr>
        <w:t>to Section 101.7, whichever is more stringent.</w:t>
      </w:r>
    </w:p>
    <w:p w14:paraId="3B8F9C02" w14:textId="77777777" w:rsidR="00241A85" w:rsidRPr="008C6A72" w:rsidRDefault="00241A85" w:rsidP="00820AC5">
      <w:pPr>
        <w:rPr>
          <w:rFonts w:cs="Arial"/>
        </w:rPr>
      </w:pPr>
    </w:p>
    <w:p w14:paraId="0F60DE42" w14:textId="73AC1581" w:rsidR="00820AC5" w:rsidRPr="008C6A72" w:rsidRDefault="00820AC5" w:rsidP="00737F15">
      <w:pPr>
        <w:ind w:firstLine="360"/>
        <w:rPr>
          <w:rFonts w:cs="Arial"/>
        </w:rPr>
      </w:pPr>
      <w:r w:rsidRPr="008C6A72">
        <w:rPr>
          <w:rFonts w:cs="Arial"/>
        </w:rPr>
        <w:t>Exception</w:t>
      </w:r>
      <w:r w:rsidR="00EB5F67" w:rsidRPr="008C6A72">
        <w:rPr>
          <w:rFonts w:cs="Arial"/>
        </w:rPr>
        <w:t>s</w:t>
      </w:r>
      <w:proofErr w:type="gramStart"/>
      <w:r w:rsidR="00D96F78">
        <w:rPr>
          <w:rFonts w:cs="Arial"/>
        </w:rPr>
        <w:t xml:space="preserve">: </w:t>
      </w:r>
      <w:r w:rsidR="00EB5F67" w:rsidRPr="008C6A72">
        <w:rPr>
          <w:rFonts w:cs="Arial"/>
          <w:strike/>
        </w:rPr>
        <w:t xml:space="preserve"> </w:t>
      </w:r>
      <w:r w:rsidRPr="008C6A72">
        <w:rPr>
          <w:rFonts w:cs="Arial"/>
          <w:strike/>
        </w:rPr>
        <w:t>[</w:t>
      </w:r>
      <w:proofErr w:type="gramEnd"/>
      <w:r w:rsidRPr="008C6A72">
        <w:rPr>
          <w:rFonts w:cs="Arial"/>
          <w:strike/>
        </w:rPr>
        <w:t>N]</w:t>
      </w:r>
      <w:r w:rsidR="00EB5F67" w:rsidRPr="008C6A72">
        <w:rPr>
          <w:rFonts w:cs="Arial"/>
          <w:strike/>
        </w:rPr>
        <w:t xml:space="preserve"> </w:t>
      </w:r>
      <w:r w:rsidR="001D630D">
        <w:rPr>
          <w:rFonts w:cs="Arial"/>
        </w:rPr>
        <w:t xml:space="preserve"> </w:t>
      </w:r>
    </w:p>
    <w:p w14:paraId="123B422D" w14:textId="74F47EE0" w:rsidR="00AC75E4" w:rsidRPr="008C6A72" w:rsidRDefault="00AC75E4" w:rsidP="00475ED8">
      <w:pPr>
        <w:numPr>
          <w:ilvl w:val="0"/>
          <w:numId w:val="31"/>
        </w:numPr>
        <w:rPr>
          <w:rFonts w:cs="Arial"/>
        </w:rPr>
      </w:pPr>
      <w:r w:rsidRPr="008C6A72">
        <w:rPr>
          <w:rFonts w:cs="Arial"/>
        </w:rPr>
        <w:t xml:space="preserve">Luminaires that qualify as exceptions in </w:t>
      </w:r>
      <w:proofErr w:type="gramStart"/>
      <w:r w:rsidRPr="008C6A72">
        <w:rPr>
          <w:rFonts w:cs="Arial"/>
        </w:rPr>
        <w:t>Section</w:t>
      </w:r>
      <w:r w:rsidR="00663111" w:rsidRPr="008C6A72">
        <w:rPr>
          <w:rFonts w:cs="Arial"/>
          <w:u w:val="single"/>
        </w:rPr>
        <w:t>s</w:t>
      </w:r>
      <w:r w:rsidR="004A272C">
        <w:rPr>
          <w:rFonts w:cs="Arial"/>
          <w:u w:val="single"/>
        </w:rPr>
        <w:t xml:space="preserve"> </w:t>
      </w:r>
      <w:r w:rsidRPr="008C6A72">
        <w:rPr>
          <w:rFonts w:cs="Arial"/>
        </w:rPr>
        <w:t xml:space="preserve"> </w:t>
      </w:r>
      <w:r w:rsidRPr="008C6A72">
        <w:rPr>
          <w:rFonts w:cs="Arial"/>
          <w:u w:val="single"/>
        </w:rPr>
        <w:t>130.2</w:t>
      </w:r>
      <w:proofErr w:type="gramEnd"/>
      <w:r w:rsidRPr="008C6A72">
        <w:rPr>
          <w:rFonts w:cs="Arial"/>
          <w:u w:val="single"/>
        </w:rPr>
        <w:t>(b) and</w:t>
      </w:r>
      <w:r w:rsidRPr="008C6A72">
        <w:rPr>
          <w:rFonts w:cs="Arial"/>
        </w:rPr>
        <w:t xml:space="preserve"> </w:t>
      </w:r>
      <w:r w:rsidR="00E24D8C">
        <w:rPr>
          <w:rFonts w:cs="Arial"/>
        </w:rPr>
        <w:t xml:space="preserve"> </w:t>
      </w:r>
      <w:r w:rsidRPr="008C6A72">
        <w:rPr>
          <w:rFonts w:cs="Arial"/>
        </w:rPr>
        <w:t xml:space="preserve">140.7 of the </w:t>
      </w:r>
      <w:r w:rsidRPr="008C6A72">
        <w:rPr>
          <w:rFonts w:cs="Arial"/>
          <w:i/>
        </w:rPr>
        <w:t>California Energy Code</w:t>
      </w:r>
      <w:r w:rsidRPr="008C6A72">
        <w:rPr>
          <w:rFonts w:cs="Arial"/>
        </w:rPr>
        <w:t>.</w:t>
      </w:r>
    </w:p>
    <w:p w14:paraId="066674AB" w14:textId="53518661" w:rsidR="00AC75E4" w:rsidRPr="008C6A72" w:rsidRDefault="00AC75E4" w:rsidP="00475ED8">
      <w:pPr>
        <w:numPr>
          <w:ilvl w:val="0"/>
          <w:numId w:val="31"/>
        </w:numPr>
        <w:rPr>
          <w:rFonts w:cs="Arial"/>
        </w:rPr>
      </w:pPr>
      <w:r w:rsidRPr="008C6A72">
        <w:rPr>
          <w:rFonts w:cs="Arial"/>
        </w:rPr>
        <w:t>Emergency lighting.</w:t>
      </w:r>
    </w:p>
    <w:p w14:paraId="23968011" w14:textId="799D13C6" w:rsidR="00AC75E4" w:rsidRPr="008C6A72" w:rsidRDefault="00AC75E4" w:rsidP="00475ED8">
      <w:pPr>
        <w:numPr>
          <w:ilvl w:val="0"/>
          <w:numId w:val="31"/>
        </w:numPr>
        <w:rPr>
          <w:rFonts w:cs="Arial"/>
        </w:rPr>
      </w:pPr>
      <w:r w:rsidRPr="008C6A72">
        <w:rPr>
          <w:rFonts w:cs="Arial"/>
        </w:rPr>
        <w:t xml:space="preserve">Building façade </w:t>
      </w:r>
      <w:r w:rsidRPr="008C6A72">
        <w:rPr>
          <w:rFonts w:cs="Arial"/>
          <w:b/>
        </w:rPr>
        <w:t>. . .</w:t>
      </w:r>
    </w:p>
    <w:p w14:paraId="5FBBCBA3" w14:textId="1A0C7949" w:rsidR="00AC75E4" w:rsidRPr="008C6A72" w:rsidRDefault="00AC75E4" w:rsidP="00475ED8">
      <w:pPr>
        <w:numPr>
          <w:ilvl w:val="0"/>
          <w:numId w:val="31"/>
        </w:numPr>
        <w:rPr>
          <w:rFonts w:cs="Arial"/>
        </w:rPr>
      </w:pPr>
      <w:r w:rsidRPr="008C6A72">
        <w:rPr>
          <w:rFonts w:cs="Arial"/>
        </w:rPr>
        <w:t xml:space="preserve">Custom lighting features </w:t>
      </w:r>
      <w:r w:rsidRPr="008C6A72">
        <w:rPr>
          <w:rFonts w:cs="Arial"/>
          <w:b/>
        </w:rPr>
        <w:t>. . .</w:t>
      </w:r>
      <w:r w:rsidRPr="008C6A72">
        <w:rPr>
          <w:rFonts w:cs="Arial"/>
        </w:rPr>
        <w:t xml:space="preserve"> </w:t>
      </w:r>
    </w:p>
    <w:p w14:paraId="428026A6" w14:textId="70582409" w:rsidR="00AC75E4" w:rsidRPr="00475ED8" w:rsidRDefault="00AC75E4" w:rsidP="00475ED8">
      <w:pPr>
        <w:numPr>
          <w:ilvl w:val="0"/>
          <w:numId w:val="33"/>
        </w:numPr>
        <w:rPr>
          <w:rFonts w:cs="Arial"/>
          <w:u w:val="single"/>
        </w:rPr>
      </w:pPr>
      <w:r w:rsidRPr="008C6A72">
        <w:rPr>
          <w:rFonts w:cs="Arial"/>
          <w:u w:val="single"/>
        </w:rPr>
        <w:t>Luminaires with less than 6,200 initial luminaire lumens.</w:t>
      </w:r>
      <w:r w:rsidR="00E24D8C" w:rsidRPr="00E24D8C">
        <w:rPr>
          <w:rFonts w:cs="Arial"/>
          <w:iCs/>
          <w:snapToGrid w:val="0"/>
        </w:rPr>
        <w:t xml:space="preserve"> </w:t>
      </w:r>
    </w:p>
    <w:p w14:paraId="49578080" w14:textId="77777777" w:rsidR="00241A85" w:rsidRPr="008C6A72" w:rsidRDefault="00241A85" w:rsidP="00943EAD">
      <w:pPr>
        <w:rPr>
          <w:rFonts w:cs="Arial"/>
        </w:rPr>
      </w:pPr>
    </w:p>
    <w:p w14:paraId="3CE9924E" w14:textId="76ABA25D" w:rsidR="00241A85" w:rsidRPr="008C6A72" w:rsidRDefault="004A272C" w:rsidP="00241A85">
      <w:pPr>
        <w:rPr>
          <w:rFonts w:cs="Arial"/>
          <w:sz w:val="22"/>
          <w:szCs w:val="22"/>
          <w:u w:val="single"/>
        </w:rPr>
      </w:pPr>
      <w:r>
        <w:rPr>
          <w:rFonts w:cs="Arial"/>
          <w:snapToGrid w:val="0"/>
        </w:rPr>
        <w:t xml:space="preserve"> </w:t>
      </w:r>
      <w:r w:rsidR="00241A85" w:rsidRPr="008C6A72">
        <w:rPr>
          <w:rFonts w:cs="Arial"/>
          <w:b/>
          <w:bCs/>
          <w:u w:val="single"/>
        </w:rPr>
        <w:t>5.106.8.</w:t>
      </w:r>
      <w:r w:rsidR="00241A85" w:rsidRPr="008C6A72">
        <w:rPr>
          <w:rFonts w:cs="Arial"/>
          <w:u w:val="single"/>
        </w:rPr>
        <w:t xml:space="preserve">1 </w:t>
      </w:r>
      <w:r w:rsidR="00241A85" w:rsidRPr="008C6A72">
        <w:rPr>
          <w:rFonts w:cs="Arial"/>
          <w:b/>
          <w:bCs/>
          <w:u w:val="single"/>
        </w:rPr>
        <w:t>Facing – Backlight.</w:t>
      </w:r>
      <w:r w:rsidR="00241A85" w:rsidRPr="008C6A72">
        <w:rPr>
          <w:rFonts w:cs="Arial"/>
          <w:u w:val="single"/>
        </w:rPr>
        <w:t xml:space="preserve"> Luminaires within 2MH of a property line shall be oriented so that the nearest </w:t>
      </w:r>
      <w:r w:rsidR="00996FB4" w:rsidRPr="008C6A72">
        <w:rPr>
          <w:rFonts w:cs="Arial"/>
          <w:u w:val="single"/>
        </w:rPr>
        <w:t xml:space="preserve">property line is </w:t>
      </w:r>
      <w:r w:rsidR="00241A85" w:rsidRPr="008C6A72">
        <w:rPr>
          <w:rFonts w:cs="Arial"/>
          <w:u w:val="single"/>
        </w:rPr>
        <w:t>behind the fixture, and shall comply with the backlight rating specified in Table 5.106.8 based on the lig</w:t>
      </w:r>
      <w:r w:rsidR="00996FB4" w:rsidRPr="008C6A72">
        <w:rPr>
          <w:rFonts w:cs="Arial"/>
          <w:u w:val="single"/>
        </w:rPr>
        <w:t xml:space="preserve">hting zone and distance to the </w:t>
      </w:r>
      <w:r w:rsidR="00241A85" w:rsidRPr="008C6A72">
        <w:rPr>
          <w:rFonts w:cs="Arial"/>
          <w:u w:val="single"/>
        </w:rPr>
        <w:t>nearest point</w:t>
      </w:r>
      <w:r w:rsidR="00996FB4" w:rsidRPr="008C6A72">
        <w:rPr>
          <w:rFonts w:cs="Arial"/>
          <w:u w:val="single"/>
        </w:rPr>
        <w:t xml:space="preserve"> of that property line</w:t>
      </w:r>
      <w:r w:rsidR="00241A85" w:rsidRPr="008C6A72">
        <w:rPr>
          <w:rFonts w:cs="Arial"/>
          <w:u w:val="single"/>
        </w:rPr>
        <w:t>.</w:t>
      </w:r>
    </w:p>
    <w:p w14:paraId="679E9213" w14:textId="77777777" w:rsidR="00241A85" w:rsidRPr="008C6A72" w:rsidRDefault="00241A85" w:rsidP="00241A85">
      <w:pPr>
        <w:rPr>
          <w:rFonts w:cs="Arial"/>
          <w:u w:val="single"/>
        </w:rPr>
      </w:pPr>
    </w:p>
    <w:p w14:paraId="4956D7A4" w14:textId="77777777" w:rsidR="00241A85" w:rsidRPr="008C6A72" w:rsidRDefault="00241A85" w:rsidP="00737F15">
      <w:pPr>
        <w:ind w:left="360"/>
        <w:rPr>
          <w:rFonts w:cs="Arial"/>
          <w:u w:val="single"/>
        </w:rPr>
      </w:pPr>
      <w:r w:rsidRPr="008C6A72">
        <w:rPr>
          <w:rFonts w:cs="Arial"/>
          <w:b/>
          <w:bCs/>
          <w:u w:val="single"/>
        </w:rPr>
        <w:t>Exception:</w:t>
      </w:r>
      <w:r w:rsidRPr="008C6A72">
        <w:rPr>
          <w:rFonts w:cs="Arial"/>
          <w:u w:val="single"/>
        </w:rPr>
        <w:t xml:space="preserve"> </w:t>
      </w:r>
      <w:r w:rsidRPr="008C6A72">
        <w:rPr>
          <w:rFonts w:cs="Arial"/>
          <w:b/>
          <w:bCs/>
          <w:u w:val="single"/>
        </w:rPr>
        <w:t>Corners.</w:t>
      </w:r>
      <w:r w:rsidRPr="008C6A72">
        <w:rPr>
          <w:rFonts w:cs="Arial"/>
          <w:u w:val="single"/>
        </w:rPr>
        <w:t xml:space="preserve"> </w:t>
      </w:r>
      <w:r w:rsidR="00EB1413" w:rsidRPr="008C6A72">
        <w:rPr>
          <w:rFonts w:cs="Arial"/>
          <w:u w:val="single"/>
        </w:rPr>
        <w:t>I</w:t>
      </w:r>
      <w:r w:rsidRPr="008C6A72">
        <w:rPr>
          <w:rFonts w:cs="Arial"/>
          <w:u w:val="single"/>
        </w:rPr>
        <w:t>f two property lines (or two segments of the same property line) have equidistant points to the luminaire, then the luminaire may be oriented so that the intersection of the two lines (the corner) is directly behind the luminaire. The luminaire shall still use the distance to the nearest point(s) on the property lines to determine the required backlight rating.</w:t>
      </w:r>
    </w:p>
    <w:p w14:paraId="239B8845" w14:textId="77777777" w:rsidR="00241A85" w:rsidRPr="008C6A72" w:rsidRDefault="00241A85" w:rsidP="00241A85">
      <w:pPr>
        <w:rPr>
          <w:rFonts w:cs="Arial"/>
          <w:u w:val="single"/>
        </w:rPr>
      </w:pPr>
    </w:p>
    <w:p w14:paraId="20C782CE" w14:textId="2A19B1C1" w:rsidR="00241A85" w:rsidRPr="008C6A72" w:rsidRDefault="00241A85" w:rsidP="00943EAD">
      <w:pPr>
        <w:rPr>
          <w:rFonts w:cs="Arial"/>
        </w:rPr>
      </w:pPr>
      <w:r w:rsidRPr="008C6A72">
        <w:rPr>
          <w:rFonts w:cs="Arial"/>
          <w:b/>
          <w:bCs/>
          <w:u w:val="single"/>
        </w:rPr>
        <w:t>5.106.8.2</w:t>
      </w:r>
      <w:r w:rsidRPr="008C6A72">
        <w:rPr>
          <w:rFonts w:cs="Arial"/>
          <w:u w:val="single"/>
        </w:rPr>
        <w:t xml:space="preserve"> </w:t>
      </w:r>
      <w:r w:rsidRPr="008C6A72">
        <w:rPr>
          <w:rFonts w:cs="Arial"/>
          <w:b/>
          <w:bCs/>
          <w:u w:val="single"/>
        </w:rPr>
        <w:t>Facing – Glare.</w:t>
      </w:r>
      <w:r w:rsidRPr="008C6A72">
        <w:rPr>
          <w:rFonts w:cs="Arial"/>
          <w:u w:val="single"/>
        </w:rPr>
        <w:t xml:space="preserve"> For luminaires covered by 5.106.8.1, if a property line also exists within or extends into the front hemisphere within 2MH of the luminaire then the luminaire shall comply with the more stringent glare rating specified in Table 5.106.8 </w:t>
      </w:r>
      <w:r w:rsidRPr="008C6A72">
        <w:rPr>
          <w:rFonts w:cs="Arial"/>
          <w:u w:val="single"/>
        </w:rPr>
        <w:lastRenderedPageBreak/>
        <w:t>based on the lighting zone and distance to the nearest point on the nearest property line within the front hemisphere.</w:t>
      </w:r>
      <w:r w:rsidR="00E24D8C" w:rsidRPr="00E24D8C">
        <w:rPr>
          <w:rFonts w:cs="Arial"/>
          <w:iCs/>
          <w:snapToGrid w:val="0"/>
        </w:rPr>
        <w:t xml:space="preserve"> </w:t>
      </w:r>
    </w:p>
    <w:p w14:paraId="20F1D41B" w14:textId="77777777" w:rsidR="00910270" w:rsidRPr="008C6A72" w:rsidRDefault="00910270" w:rsidP="00943EAD">
      <w:pPr>
        <w:rPr>
          <w:rFonts w:cs="Arial"/>
        </w:rPr>
      </w:pPr>
    </w:p>
    <w:p w14:paraId="7862DD48" w14:textId="77777777" w:rsidR="00943EAD" w:rsidRPr="008C6A72" w:rsidRDefault="00943EAD" w:rsidP="00922B9F">
      <w:pPr>
        <w:ind w:left="360"/>
        <w:rPr>
          <w:rFonts w:cs="Arial"/>
        </w:rPr>
      </w:pPr>
      <w:r w:rsidRPr="008C6A72">
        <w:rPr>
          <w:rFonts w:cs="Arial"/>
        </w:rPr>
        <w:t>Notes:</w:t>
      </w:r>
    </w:p>
    <w:p w14:paraId="03D00C52" w14:textId="2BC1E55C" w:rsidR="00943EAD" w:rsidRPr="008C6A72" w:rsidRDefault="00A65FCA" w:rsidP="0028550A">
      <w:pPr>
        <w:numPr>
          <w:ilvl w:val="0"/>
          <w:numId w:val="25"/>
        </w:numPr>
        <w:rPr>
          <w:rFonts w:cs="Arial"/>
        </w:rPr>
      </w:pPr>
      <w:r w:rsidRPr="008C6A72">
        <w:rPr>
          <w:rFonts w:cs="Arial"/>
          <w:strike/>
        </w:rPr>
        <w:t>[</w:t>
      </w:r>
      <w:proofErr w:type="gramStart"/>
      <w:r w:rsidRPr="008C6A72">
        <w:rPr>
          <w:rFonts w:cs="Arial"/>
          <w:strike/>
        </w:rPr>
        <w:t xml:space="preserve">N] </w:t>
      </w:r>
      <w:r w:rsidR="00E24D8C">
        <w:rPr>
          <w:rFonts w:cs="Arial"/>
          <w:snapToGrid w:val="0"/>
        </w:rPr>
        <w:t xml:space="preserve"> </w:t>
      </w:r>
      <w:r w:rsidR="00943EAD" w:rsidRPr="008C6A72">
        <w:rPr>
          <w:rFonts w:cs="Arial"/>
        </w:rPr>
        <w:t>See</w:t>
      </w:r>
      <w:proofErr w:type="gramEnd"/>
      <w:r w:rsidR="00943EAD" w:rsidRPr="008C6A72">
        <w:rPr>
          <w:rFonts w:cs="Arial"/>
        </w:rPr>
        <w:t xml:space="preserve"> also </w:t>
      </w:r>
      <w:r w:rsidR="00943EAD" w:rsidRPr="003C0760">
        <w:rPr>
          <w:rFonts w:cs="Arial"/>
          <w:i/>
        </w:rPr>
        <w:t>California Building Code</w:t>
      </w:r>
      <w:r w:rsidR="00943EAD" w:rsidRPr="008C6A72">
        <w:rPr>
          <w:rFonts w:cs="Arial"/>
        </w:rPr>
        <w:t>, Chapter 12, Section 1205.7 for college campus lighting requirements for parking facilities and walkways.</w:t>
      </w:r>
    </w:p>
    <w:p w14:paraId="5F754E53" w14:textId="77777777" w:rsidR="0028550A" w:rsidRPr="008C6A72" w:rsidRDefault="0028550A" w:rsidP="0028550A">
      <w:pPr>
        <w:ind w:left="810"/>
        <w:rPr>
          <w:rFonts w:cs="Arial"/>
        </w:rPr>
      </w:pPr>
    </w:p>
    <w:p w14:paraId="324AAA42" w14:textId="77777777" w:rsidR="0028550A" w:rsidRPr="008C6A72" w:rsidRDefault="00943EAD" w:rsidP="0057116E">
      <w:pPr>
        <w:numPr>
          <w:ilvl w:val="0"/>
          <w:numId w:val="25"/>
        </w:numPr>
        <w:rPr>
          <w:rFonts w:cs="Arial"/>
        </w:rPr>
      </w:pPr>
      <w:r w:rsidRPr="008C6A72">
        <w:rPr>
          <w:rFonts w:cs="Arial"/>
        </w:rPr>
        <w:t xml:space="preserve">Refer to Chapter 8 (Compliance Forms, Worksheets and Reference Material) for IES TM-15-11 Table A-1, </w:t>
      </w:r>
      <w:r w:rsidRPr="003C0760">
        <w:rPr>
          <w:rFonts w:cs="Arial"/>
          <w:i/>
        </w:rPr>
        <w:t>California Energy Code</w:t>
      </w:r>
      <w:r w:rsidRPr="008C6A72">
        <w:rPr>
          <w:rFonts w:cs="Arial"/>
        </w:rPr>
        <w:t xml:space="preserve"> Tables 130.2-A and</w:t>
      </w:r>
      <w:r w:rsidR="0010124C" w:rsidRPr="008C6A72">
        <w:rPr>
          <w:rFonts w:cs="Arial"/>
        </w:rPr>
        <w:t xml:space="preserve"> </w:t>
      </w:r>
      <w:r w:rsidRPr="008C6A72">
        <w:rPr>
          <w:rFonts w:cs="Arial"/>
        </w:rPr>
        <w:t>130.2-B.</w:t>
      </w:r>
    </w:p>
    <w:p w14:paraId="7572733A" w14:textId="77777777" w:rsidR="0057116E" w:rsidRPr="008C6A72" w:rsidRDefault="0057116E" w:rsidP="0057116E">
      <w:pPr>
        <w:rPr>
          <w:rFonts w:cs="Arial"/>
        </w:rPr>
      </w:pPr>
    </w:p>
    <w:p w14:paraId="42BB5C53" w14:textId="77777777" w:rsidR="00943EAD" w:rsidRPr="00FB51E9" w:rsidRDefault="00943EAD" w:rsidP="00FB51E9">
      <w:pPr>
        <w:pStyle w:val="ListParagraph"/>
        <w:numPr>
          <w:ilvl w:val="0"/>
          <w:numId w:val="25"/>
        </w:numPr>
        <w:tabs>
          <w:tab w:val="left" w:pos="450"/>
        </w:tabs>
        <w:rPr>
          <w:rFonts w:ascii="Arial" w:hAnsi="Arial" w:cs="Arial"/>
        </w:rPr>
      </w:pPr>
      <w:r w:rsidRPr="00FB51E9">
        <w:rPr>
          <w:rFonts w:ascii="Arial" w:hAnsi="Arial" w:cs="Arial"/>
        </w:rPr>
        <w:t xml:space="preserve">Refer to the </w:t>
      </w:r>
      <w:r w:rsidRPr="003C0760">
        <w:rPr>
          <w:rFonts w:ascii="Arial" w:hAnsi="Arial" w:cs="Arial"/>
          <w:i/>
        </w:rPr>
        <w:t>California Energy Code</w:t>
      </w:r>
      <w:r w:rsidRPr="00FB51E9">
        <w:rPr>
          <w:rFonts w:ascii="Arial" w:hAnsi="Arial" w:cs="Arial"/>
        </w:rPr>
        <w:t xml:space="preserve"> for requirements</w:t>
      </w:r>
      <w:r w:rsidR="0010124C" w:rsidRPr="00FB51E9">
        <w:rPr>
          <w:rFonts w:ascii="Arial" w:hAnsi="Arial" w:cs="Arial"/>
        </w:rPr>
        <w:t xml:space="preserve"> </w:t>
      </w:r>
      <w:r w:rsidR="00FB51E9" w:rsidRPr="00FB51E9">
        <w:rPr>
          <w:rFonts w:ascii="Arial" w:hAnsi="Arial" w:cs="Arial"/>
        </w:rPr>
        <w:t xml:space="preserve">for additions and </w:t>
      </w:r>
      <w:r w:rsidRPr="00FB51E9">
        <w:rPr>
          <w:rFonts w:ascii="Arial" w:hAnsi="Arial" w:cs="Arial"/>
        </w:rPr>
        <w:t>alterations.</w:t>
      </w:r>
    </w:p>
    <w:p w14:paraId="28D1B77E" w14:textId="77777777" w:rsidR="007A74E0" w:rsidRPr="008C6A72" w:rsidRDefault="007A74E0" w:rsidP="00D5562D">
      <w:pPr>
        <w:ind w:left="450"/>
        <w:rPr>
          <w:rFonts w:cs="Arial"/>
        </w:rPr>
      </w:pPr>
    </w:p>
    <w:p w14:paraId="1079205D" w14:textId="77777777" w:rsidR="00C33CEB" w:rsidRPr="008C6A72" w:rsidRDefault="00C33CEB" w:rsidP="00C33CEB">
      <w:pPr>
        <w:spacing w:before="1" w:line="185" w:lineRule="exact"/>
        <w:ind w:left="557" w:right="665"/>
        <w:jc w:val="center"/>
        <w:rPr>
          <w:rFonts w:cs="Arial"/>
          <w:b/>
          <w:sz w:val="16"/>
        </w:rPr>
      </w:pPr>
      <w:r w:rsidRPr="008C6A72">
        <w:rPr>
          <w:rFonts w:cs="Arial"/>
          <w:b/>
          <w:sz w:val="16"/>
        </w:rPr>
        <w:t>TABLE 5.106.8 [N]</w:t>
      </w:r>
    </w:p>
    <w:p w14:paraId="11DB3D1F" w14:textId="77777777" w:rsidR="00C33CEB" w:rsidRPr="008C6A72" w:rsidRDefault="00C33CEB" w:rsidP="00EE27C8">
      <w:pPr>
        <w:spacing w:after="31" w:line="185" w:lineRule="exact"/>
        <w:ind w:left="556" w:right="665" w:firstLine="1"/>
        <w:jc w:val="center"/>
        <w:rPr>
          <w:rFonts w:cs="Arial"/>
          <w:b/>
          <w:sz w:val="9"/>
        </w:rPr>
      </w:pPr>
      <w:r w:rsidRPr="008C6A72">
        <w:rPr>
          <w:rFonts w:cs="Arial"/>
          <w:b/>
          <w:sz w:val="16"/>
        </w:rPr>
        <w:t>MAXIMUM ALLOWABLE BACKLIGHT, UPLIGHT AND GLARE (BUG) RATINGS</w:t>
      </w:r>
      <w:r w:rsidRPr="008C6A72">
        <w:rPr>
          <w:rFonts w:cs="Arial"/>
          <w:b/>
          <w:position w:val="6"/>
          <w:sz w:val="9"/>
        </w:rPr>
        <w:t>1,2</w:t>
      </w:r>
    </w:p>
    <w:tbl>
      <w:tblPr>
        <w:tblStyle w:val="TableGrid"/>
        <w:tblW w:w="10278" w:type="dxa"/>
        <w:tblLayout w:type="fixed"/>
        <w:tblLook w:val="01E0" w:firstRow="1" w:lastRow="1" w:firstColumn="1" w:lastColumn="1" w:noHBand="0" w:noVBand="0"/>
        <w:tblCaption w:val="Table 5.106.8 {N}"/>
        <w:tblDescription w:val="Maximum allowable backlight, uplight and glare (BUG) ratings"/>
      </w:tblPr>
      <w:tblGrid>
        <w:gridCol w:w="4872"/>
        <w:gridCol w:w="1080"/>
        <w:gridCol w:w="1078"/>
        <w:gridCol w:w="1078"/>
        <w:gridCol w:w="1080"/>
        <w:gridCol w:w="1090"/>
      </w:tblGrid>
      <w:tr w:rsidR="0028550A" w:rsidRPr="008C6A72" w14:paraId="19B0BA64" w14:textId="77777777" w:rsidTr="00F917A9">
        <w:trPr>
          <w:cnfStyle w:val="100000000000" w:firstRow="1" w:lastRow="0" w:firstColumn="0" w:lastColumn="0" w:oddVBand="0" w:evenVBand="0" w:oddHBand="0" w:evenHBand="0" w:firstRowFirstColumn="0" w:firstRowLastColumn="0" w:lastRowFirstColumn="0" w:lastRowLastColumn="0"/>
          <w:trHeight w:val="494"/>
        </w:trPr>
        <w:tc>
          <w:tcPr>
            <w:tcW w:w="4872" w:type="dxa"/>
          </w:tcPr>
          <w:p w14:paraId="22C47D9E" w14:textId="77777777" w:rsidR="00C33CEB" w:rsidRPr="00F917A9" w:rsidRDefault="00C33CEB" w:rsidP="000751BD">
            <w:pPr>
              <w:pStyle w:val="TableParagraph"/>
              <w:spacing w:before="10"/>
              <w:rPr>
                <w:rFonts w:ascii="Arial" w:hAnsi="Arial" w:cs="Arial"/>
                <w:b/>
                <w:color w:val="000000" w:themeColor="text1"/>
                <w:sz w:val="12"/>
              </w:rPr>
            </w:pPr>
          </w:p>
          <w:p w14:paraId="6713E871" w14:textId="77777777" w:rsidR="00C33CEB" w:rsidRPr="008C6A72" w:rsidRDefault="00C33CEB" w:rsidP="000751BD">
            <w:pPr>
              <w:pStyle w:val="TableParagraph"/>
              <w:ind w:left="1710" w:right="1696"/>
              <w:rPr>
                <w:rFonts w:ascii="Arial" w:hAnsi="Arial" w:cs="Arial"/>
                <w:b/>
                <w:sz w:val="14"/>
              </w:rPr>
            </w:pPr>
            <w:r w:rsidRPr="00F917A9">
              <w:rPr>
                <w:rFonts w:ascii="Arial" w:hAnsi="Arial" w:cs="Arial"/>
                <w:b/>
                <w:color w:val="000000" w:themeColor="text1"/>
                <w:sz w:val="14"/>
              </w:rPr>
              <w:t>ALLOWABLE RATING</w:t>
            </w:r>
          </w:p>
        </w:tc>
        <w:tc>
          <w:tcPr>
            <w:tcW w:w="1080" w:type="dxa"/>
          </w:tcPr>
          <w:p w14:paraId="01C93349" w14:textId="77777777" w:rsidR="00C33CEB" w:rsidRPr="00EE27C8" w:rsidRDefault="00C33CEB" w:rsidP="000751BD">
            <w:pPr>
              <w:pStyle w:val="TableParagraph"/>
              <w:spacing w:line="230" w:lineRule="auto"/>
              <w:ind w:left="210" w:right="198"/>
              <w:rPr>
                <w:rFonts w:ascii="Arial" w:hAnsi="Arial" w:cs="Arial"/>
                <w:b/>
                <w:sz w:val="13"/>
                <w:szCs w:val="13"/>
              </w:rPr>
            </w:pPr>
            <w:r w:rsidRPr="00EE27C8">
              <w:rPr>
                <w:rFonts w:ascii="Arial" w:hAnsi="Arial" w:cs="Arial"/>
                <w:b/>
                <w:sz w:val="13"/>
                <w:szCs w:val="13"/>
              </w:rPr>
              <w:t>LIGHTING ZONE  LZ0</w:t>
            </w:r>
          </w:p>
        </w:tc>
        <w:tc>
          <w:tcPr>
            <w:tcW w:w="1078" w:type="dxa"/>
          </w:tcPr>
          <w:p w14:paraId="1EC13124" w14:textId="77777777" w:rsidR="00C33CEB" w:rsidRPr="00EE27C8" w:rsidRDefault="00C33CEB" w:rsidP="000751BD">
            <w:pPr>
              <w:pStyle w:val="TableParagraph"/>
              <w:spacing w:line="230" w:lineRule="auto"/>
              <w:ind w:left="207" w:right="198"/>
              <w:rPr>
                <w:rFonts w:ascii="Arial" w:hAnsi="Arial" w:cs="Arial"/>
                <w:b/>
                <w:sz w:val="13"/>
                <w:szCs w:val="13"/>
              </w:rPr>
            </w:pPr>
            <w:r w:rsidRPr="00EE27C8">
              <w:rPr>
                <w:rFonts w:ascii="Arial" w:hAnsi="Arial" w:cs="Arial"/>
                <w:b/>
                <w:sz w:val="13"/>
                <w:szCs w:val="13"/>
              </w:rPr>
              <w:t>LIGHTING ZONE  LZ1</w:t>
            </w:r>
          </w:p>
        </w:tc>
        <w:tc>
          <w:tcPr>
            <w:tcW w:w="1078" w:type="dxa"/>
          </w:tcPr>
          <w:p w14:paraId="7486FFB4" w14:textId="77777777" w:rsidR="00C33CEB" w:rsidRPr="00EE27C8" w:rsidRDefault="00C33CEB" w:rsidP="000751BD">
            <w:pPr>
              <w:pStyle w:val="TableParagraph"/>
              <w:spacing w:line="230" w:lineRule="auto"/>
              <w:ind w:left="207" w:right="198"/>
              <w:rPr>
                <w:rFonts w:ascii="Arial" w:hAnsi="Arial" w:cs="Arial"/>
                <w:b/>
                <w:sz w:val="13"/>
                <w:szCs w:val="13"/>
              </w:rPr>
            </w:pPr>
            <w:r w:rsidRPr="00EE27C8">
              <w:rPr>
                <w:rFonts w:ascii="Arial" w:hAnsi="Arial" w:cs="Arial"/>
                <w:b/>
                <w:sz w:val="13"/>
                <w:szCs w:val="13"/>
              </w:rPr>
              <w:t>LIGHTING ZONE  LZ2</w:t>
            </w:r>
          </w:p>
        </w:tc>
        <w:tc>
          <w:tcPr>
            <w:tcW w:w="1080" w:type="dxa"/>
          </w:tcPr>
          <w:p w14:paraId="7A0C941F" w14:textId="77777777" w:rsidR="00C33CEB" w:rsidRPr="00EE27C8" w:rsidRDefault="00C33CEB" w:rsidP="000751BD">
            <w:pPr>
              <w:pStyle w:val="TableParagraph"/>
              <w:spacing w:line="230" w:lineRule="auto"/>
              <w:ind w:left="209" w:right="198"/>
              <w:rPr>
                <w:rFonts w:ascii="Arial" w:hAnsi="Arial" w:cs="Arial"/>
                <w:b/>
                <w:sz w:val="13"/>
                <w:szCs w:val="13"/>
              </w:rPr>
            </w:pPr>
            <w:r w:rsidRPr="00EE27C8">
              <w:rPr>
                <w:rFonts w:ascii="Arial" w:hAnsi="Arial" w:cs="Arial"/>
                <w:b/>
                <w:sz w:val="13"/>
                <w:szCs w:val="13"/>
              </w:rPr>
              <w:t>LIGHTING ZONE  LZ3</w:t>
            </w:r>
          </w:p>
        </w:tc>
        <w:tc>
          <w:tcPr>
            <w:tcW w:w="1090" w:type="dxa"/>
          </w:tcPr>
          <w:p w14:paraId="4F9B73A7" w14:textId="77777777" w:rsidR="00C33CEB" w:rsidRPr="00EE27C8" w:rsidRDefault="00C33CEB" w:rsidP="000751BD">
            <w:pPr>
              <w:pStyle w:val="TableParagraph"/>
              <w:spacing w:line="230" w:lineRule="auto"/>
              <w:ind w:left="211" w:right="206"/>
              <w:rPr>
                <w:rFonts w:ascii="Arial" w:hAnsi="Arial" w:cs="Arial"/>
                <w:b/>
                <w:sz w:val="13"/>
                <w:szCs w:val="13"/>
              </w:rPr>
            </w:pPr>
            <w:r w:rsidRPr="00EE27C8">
              <w:rPr>
                <w:rFonts w:ascii="Arial" w:hAnsi="Arial" w:cs="Arial"/>
                <w:b/>
                <w:sz w:val="13"/>
                <w:szCs w:val="13"/>
              </w:rPr>
              <w:t>LIGHTING ZONE  LZ4</w:t>
            </w:r>
          </w:p>
        </w:tc>
      </w:tr>
    </w:tbl>
    <w:p w14:paraId="2BEB574F" w14:textId="77777777" w:rsidR="00BE0B11" w:rsidRPr="00BE0B11" w:rsidRDefault="00BE0B11">
      <w:pPr>
        <w:rPr>
          <w:sz w:val="2"/>
          <w:szCs w:val="2"/>
        </w:rPr>
      </w:pPr>
    </w:p>
    <w:tbl>
      <w:tblPr>
        <w:tblStyle w:val="TableGrid"/>
        <w:tblW w:w="10278" w:type="dxa"/>
        <w:tblLayout w:type="fixed"/>
        <w:tblLook w:val="0620" w:firstRow="1" w:lastRow="0" w:firstColumn="0" w:lastColumn="0" w:noHBand="1" w:noVBand="1"/>
        <w:tblCaption w:val="Table 5.106.8 {N} - Maximum Allowable Backlight Rating"/>
        <w:tblDescription w:val="Striking footnote three"/>
      </w:tblPr>
      <w:tblGrid>
        <w:gridCol w:w="4872"/>
        <w:gridCol w:w="1080"/>
        <w:gridCol w:w="1078"/>
        <w:gridCol w:w="1078"/>
        <w:gridCol w:w="1080"/>
        <w:gridCol w:w="1090"/>
      </w:tblGrid>
      <w:tr w:rsidR="0028550A" w:rsidRPr="008C6A72" w14:paraId="191E1951" w14:textId="77777777" w:rsidTr="00A55C24">
        <w:trPr>
          <w:cnfStyle w:val="100000000000" w:firstRow="1" w:lastRow="0" w:firstColumn="0" w:lastColumn="0" w:oddVBand="0" w:evenVBand="0" w:oddHBand="0" w:evenHBand="0" w:firstRowFirstColumn="0" w:firstRowLastColumn="0" w:lastRowFirstColumn="0" w:lastRowLastColumn="0"/>
          <w:trHeight w:val="251"/>
        </w:trPr>
        <w:tc>
          <w:tcPr>
            <w:tcW w:w="4872" w:type="dxa"/>
          </w:tcPr>
          <w:p w14:paraId="7E814863" w14:textId="77777777" w:rsidR="00C33CEB" w:rsidRPr="00F917A9" w:rsidRDefault="00C33CEB" w:rsidP="00BE0B11">
            <w:pPr>
              <w:pStyle w:val="TableParagraph"/>
              <w:spacing w:line="195" w:lineRule="exact"/>
              <w:ind w:left="43"/>
              <w:rPr>
                <w:rFonts w:ascii="Arial" w:hAnsi="Arial" w:cs="Arial"/>
                <w:b/>
                <w:color w:val="auto"/>
                <w:sz w:val="18"/>
              </w:rPr>
            </w:pPr>
            <w:r w:rsidRPr="00F917A9">
              <w:rPr>
                <w:rFonts w:ascii="Arial" w:hAnsi="Arial" w:cs="Arial"/>
                <w:b/>
                <w:color w:val="auto"/>
                <w:sz w:val="18"/>
              </w:rPr>
              <w:t>Maximum Allowable</w:t>
            </w:r>
            <w:r w:rsidRPr="00F917A9">
              <w:rPr>
                <w:rFonts w:ascii="Arial" w:hAnsi="Arial" w:cs="Arial"/>
                <w:b/>
                <w:color w:val="auto"/>
                <w:sz w:val="18"/>
                <w:shd w:val="clear" w:color="auto" w:fill="AEAAAA" w:themeFill="background2" w:themeFillShade="BF"/>
              </w:rPr>
              <w:t xml:space="preserve"> </w:t>
            </w:r>
            <w:r w:rsidRPr="00F917A9">
              <w:rPr>
                <w:rFonts w:ascii="Arial" w:hAnsi="Arial" w:cs="Arial"/>
                <w:b/>
                <w:color w:val="auto"/>
                <w:sz w:val="18"/>
              </w:rPr>
              <w:t>Backlight Rating</w:t>
            </w:r>
            <w:r w:rsidRPr="00F917A9">
              <w:rPr>
                <w:rFonts w:ascii="Arial" w:hAnsi="Arial" w:cs="Arial"/>
                <w:b/>
                <w:strike/>
                <w:color w:val="auto"/>
                <w:position w:val="7"/>
                <w:sz w:val="11"/>
              </w:rPr>
              <w:t>3</w:t>
            </w:r>
            <w:r w:rsidRPr="00F917A9">
              <w:rPr>
                <w:rFonts w:ascii="Arial" w:hAnsi="Arial" w:cs="Arial"/>
                <w:b/>
                <w:color w:val="auto"/>
                <w:position w:val="7"/>
                <w:sz w:val="11"/>
              </w:rPr>
              <w:t xml:space="preserve"> </w:t>
            </w:r>
            <w:r w:rsidRPr="00F917A9">
              <w:rPr>
                <w:rFonts w:ascii="Arial" w:hAnsi="Arial" w:cs="Arial"/>
                <w:b/>
                <w:color w:val="auto"/>
                <w:sz w:val="18"/>
              </w:rPr>
              <w:t>(B)</w:t>
            </w:r>
          </w:p>
        </w:tc>
        <w:tc>
          <w:tcPr>
            <w:tcW w:w="1080" w:type="dxa"/>
          </w:tcPr>
          <w:p w14:paraId="40C3043D" w14:textId="77777777" w:rsidR="00C33CEB" w:rsidRPr="00BE0B11" w:rsidRDefault="00BE0B11" w:rsidP="00BE0B11">
            <w:pPr>
              <w:pStyle w:val="TableParagraph"/>
              <w:ind w:left="0"/>
              <w:rPr>
                <w:rFonts w:ascii="Arial" w:hAnsi="Arial" w:cs="Arial"/>
                <w:color w:val="BFBFBF" w:themeColor="background1" w:themeShade="BF"/>
                <w:sz w:val="18"/>
              </w:rPr>
            </w:pPr>
            <w:r w:rsidRPr="00F917A9">
              <w:rPr>
                <w:rFonts w:ascii="Arial" w:hAnsi="Arial" w:cs="Arial"/>
                <w:b/>
                <w:sz w:val="13"/>
                <w:szCs w:val="13"/>
              </w:rPr>
              <w:t>LIGHTING ZONE  LZ0</w:t>
            </w:r>
          </w:p>
        </w:tc>
        <w:tc>
          <w:tcPr>
            <w:tcW w:w="1078" w:type="dxa"/>
          </w:tcPr>
          <w:p w14:paraId="14865ED2" w14:textId="77777777" w:rsidR="00C33CEB" w:rsidRPr="00F917A9" w:rsidRDefault="00BE0B11" w:rsidP="00BE0B11">
            <w:pPr>
              <w:pStyle w:val="TableParagraph"/>
              <w:ind w:left="-21"/>
              <w:rPr>
                <w:rFonts w:ascii="Arial" w:hAnsi="Arial" w:cs="Arial"/>
                <w:sz w:val="18"/>
              </w:rPr>
            </w:pPr>
            <w:r w:rsidRPr="00F917A9">
              <w:rPr>
                <w:rFonts w:ascii="Arial" w:hAnsi="Arial" w:cs="Arial"/>
                <w:b/>
                <w:sz w:val="13"/>
                <w:szCs w:val="13"/>
              </w:rPr>
              <w:t>LIGHTING ZONE LZ1</w:t>
            </w:r>
          </w:p>
        </w:tc>
        <w:tc>
          <w:tcPr>
            <w:tcW w:w="1078" w:type="dxa"/>
          </w:tcPr>
          <w:p w14:paraId="01F05CC9" w14:textId="77777777" w:rsidR="00C33CEB" w:rsidRPr="00BE0B11" w:rsidRDefault="00BE0B11" w:rsidP="00BE0B11">
            <w:pPr>
              <w:pStyle w:val="TableParagraph"/>
              <w:ind w:left="0"/>
              <w:rPr>
                <w:rFonts w:ascii="Arial" w:hAnsi="Arial" w:cs="Arial"/>
                <w:color w:val="BFBFBF" w:themeColor="background1" w:themeShade="BF"/>
                <w:sz w:val="18"/>
              </w:rPr>
            </w:pPr>
            <w:r w:rsidRPr="00F917A9">
              <w:rPr>
                <w:rFonts w:ascii="Arial" w:hAnsi="Arial" w:cs="Arial"/>
                <w:b/>
                <w:sz w:val="13"/>
                <w:szCs w:val="13"/>
              </w:rPr>
              <w:t>LIGHTING ZONE  LZ2</w:t>
            </w:r>
          </w:p>
        </w:tc>
        <w:tc>
          <w:tcPr>
            <w:tcW w:w="1080" w:type="dxa"/>
          </w:tcPr>
          <w:p w14:paraId="7D242ADC" w14:textId="77777777" w:rsidR="00C33CEB" w:rsidRPr="00BE0B11" w:rsidRDefault="00BE0B11" w:rsidP="00BE0B11">
            <w:pPr>
              <w:pStyle w:val="TableParagraph"/>
              <w:ind w:left="-15"/>
              <w:rPr>
                <w:rFonts w:ascii="Arial" w:hAnsi="Arial" w:cs="Arial"/>
                <w:color w:val="BFBFBF" w:themeColor="background1" w:themeShade="BF"/>
                <w:sz w:val="18"/>
              </w:rPr>
            </w:pPr>
            <w:r w:rsidRPr="00F917A9">
              <w:rPr>
                <w:rFonts w:ascii="Arial" w:hAnsi="Arial" w:cs="Arial"/>
                <w:b/>
                <w:sz w:val="13"/>
                <w:szCs w:val="13"/>
              </w:rPr>
              <w:t>LIGHTING ZONE  LZ3</w:t>
            </w:r>
          </w:p>
        </w:tc>
        <w:tc>
          <w:tcPr>
            <w:tcW w:w="1090" w:type="dxa"/>
          </w:tcPr>
          <w:p w14:paraId="6F8D41B1" w14:textId="77777777" w:rsidR="00C33CEB" w:rsidRPr="00BE0B11" w:rsidRDefault="00BE0B11" w:rsidP="00BE0B11">
            <w:pPr>
              <w:pStyle w:val="TableParagraph"/>
              <w:ind w:left="0"/>
              <w:rPr>
                <w:rFonts w:ascii="Arial" w:hAnsi="Arial" w:cs="Arial"/>
                <w:color w:val="BFBFBF" w:themeColor="background1" w:themeShade="BF"/>
                <w:sz w:val="18"/>
              </w:rPr>
            </w:pPr>
            <w:r w:rsidRPr="00F917A9">
              <w:rPr>
                <w:rFonts w:ascii="Arial" w:hAnsi="Arial" w:cs="Arial"/>
                <w:b/>
                <w:sz w:val="13"/>
                <w:szCs w:val="13"/>
              </w:rPr>
              <w:t>LIGHTING ZONE  LZ4</w:t>
            </w:r>
          </w:p>
        </w:tc>
      </w:tr>
      <w:tr w:rsidR="0028550A" w:rsidRPr="008C6A72" w14:paraId="3A9EC89A" w14:textId="77777777" w:rsidTr="00A55C24">
        <w:trPr>
          <w:trHeight w:val="179"/>
        </w:trPr>
        <w:tc>
          <w:tcPr>
            <w:tcW w:w="4872" w:type="dxa"/>
          </w:tcPr>
          <w:p w14:paraId="32BDEF33" w14:textId="77777777" w:rsidR="00C33CEB" w:rsidRPr="008C6A72" w:rsidRDefault="00C33CEB" w:rsidP="000751BD">
            <w:pPr>
              <w:pStyle w:val="TableParagraph"/>
              <w:spacing w:line="192" w:lineRule="exact"/>
              <w:ind w:left="40"/>
              <w:rPr>
                <w:rFonts w:ascii="Arial" w:hAnsi="Arial" w:cs="Arial"/>
                <w:sz w:val="18"/>
              </w:rPr>
            </w:pPr>
            <w:bookmarkStart w:id="0" w:name="_GoBack"/>
            <w:r w:rsidRPr="008C6A72">
              <w:rPr>
                <w:rFonts w:ascii="Arial" w:hAnsi="Arial" w:cs="Arial"/>
                <w:spacing w:val="-6"/>
                <w:sz w:val="18"/>
              </w:rPr>
              <w:t xml:space="preserve">Luminaire greater </w:t>
            </w:r>
            <w:r w:rsidRPr="008C6A72">
              <w:rPr>
                <w:rFonts w:ascii="Arial" w:hAnsi="Arial" w:cs="Arial"/>
                <w:spacing w:val="-5"/>
                <w:sz w:val="18"/>
              </w:rPr>
              <w:t xml:space="preserve">than </w:t>
            </w:r>
            <w:r w:rsidRPr="008C6A72">
              <w:rPr>
                <w:rFonts w:ascii="Arial" w:hAnsi="Arial" w:cs="Arial"/>
                <w:sz w:val="18"/>
              </w:rPr>
              <w:t xml:space="preserve">2 </w:t>
            </w:r>
            <w:r w:rsidRPr="008C6A72">
              <w:rPr>
                <w:rFonts w:ascii="Arial" w:hAnsi="Arial" w:cs="Arial"/>
                <w:spacing w:val="-6"/>
                <w:sz w:val="18"/>
              </w:rPr>
              <w:t xml:space="preserve">mounting heights </w:t>
            </w:r>
            <w:r w:rsidRPr="008C6A72">
              <w:rPr>
                <w:rFonts w:ascii="Arial" w:hAnsi="Arial" w:cs="Arial"/>
                <w:spacing w:val="-5"/>
                <w:sz w:val="18"/>
              </w:rPr>
              <w:t xml:space="preserve">(MH) from </w:t>
            </w:r>
            <w:r w:rsidRPr="008C6A72">
              <w:rPr>
                <w:rFonts w:ascii="Arial" w:hAnsi="Arial" w:cs="Arial"/>
                <w:spacing w:val="-6"/>
                <w:sz w:val="18"/>
              </w:rPr>
              <w:t xml:space="preserve">property </w:t>
            </w:r>
            <w:r w:rsidRPr="008C6A72">
              <w:rPr>
                <w:rFonts w:ascii="Arial" w:hAnsi="Arial" w:cs="Arial"/>
                <w:spacing w:val="-7"/>
                <w:sz w:val="18"/>
              </w:rPr>
              <w:t>line</w:t>
            </w:r>
          </w:p>
        </w:tc>
        <w:tc>
          <w:tcPr>
            <w:tcW w:w="1080" w:type="dxa"/>
          </w:tcPr>
          <w:p w14:paraId="3B8E48E6" w14:textId="77777777"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14:paraId="5C8F836F" w14:textId="77777777" w:rsidR="00C33CEB" w:rsidRPr="008C6A72" w:rsidRDefault="00C33CEB" w:rsidP="000751BD">
            <w:pPr>
              <w:pStyle w:val="TableParagraph"/>
              <w:spacing w:line="192" w:lineRule="exact"/>
              <w:ind w:left="185" w:right="177"/>
              <w:rPr>
                <w:rFonts w:ascii="Arial" w:hAnsi="Arial" w:cs="Arial"/>
                <w:sz w:val="18"/>
              </w:rPr>
            </w:pPr>
            <w:r w:rsidRPr="008C6A72">
              <w:rPr>
                <w:rFonts w:ascii="Arial" w:hAnsi="Arial" w:cs="Arial"/>
                <w:sz w:val="18"/>
              </w:rPr>
              <w:t>No Limit</w:t>
            </w:r>
          </w:p>
        </w:tc>
        <w:tc>
          <w:tcPr>
            <w:tcW w:w="1078" w:type="dxa"/>
          </w:tcPr>
          <w:p w14:paraId="08B2180A" w14:textId="77777777" w:rsidR="00C33CEB" w:rsidRPr="008C6A72" w:rsidRDefault="00C33CEB" w:rsidP="000751BD">
            <w:pPr>
              <w:pStyle w:val="TableParagraph"/>
              <w:spacing w:line="192" w:lineRule="exact"/>
              <w:ind w:left="184" w:right="177"/>
              <w:rPr>
                <w:rFonts w:ascii="Arial" w:hAnsi="Arial" w:cs="Arial"/>
                <w:sz w:val="18"/>
              </w:rPr>
            </w:pPr>
            <w:r w:rsidRPr="008C6A72">
              <w:rPr>
                <w:rFonts w:ascii="Arial" w:hAnsi="Arial" w:cs="Arial"/>
                <w:sz w:val="18"/>
              </w:rPr>
              <w:t>No Limit</w:t>
            </w:r>
          </w:p>
        </w:tc>
        <w:tc>
          <w:tcPr>
            <w:tcW w:w="1080" w:type="dxa"/>
          </w:tcPr>
          <w:p w14:paraId="3350DB86" w14:textId="77777777" w:rsidR="00C33CEB" w:rsidRPr="008C6A72" w:rsidRDefault="00C33CEB" w:rsidP="000751BD">
            <w:pPr>
              <w:pStyle w:val="TableParagraph"/>
              <w:spacing w:line="192" w:lineRule="exact"/>
              <w:ind w:left="187" w:right="178"/>
              <w:rPr>
                <w:rFonts w:ascii="Arial" w:hAnsi="Arial" w:cs="Arial"/>
                <w:sz w:val="18"/>
              </w:rPr>
            </w:pPr>
            <w:r w:rsidRPr="008C6A72">
              <w:rPr>
                <w:rFonts w:ascii="Arial" w:hAnsi="Arial" w:cs="Arial"/>
                <w:sz w:val="18"/>
              </w:rPr>
              <w:t>No Limit</w:t>
            </w:r>
          </w:p>
        </w:tc>
        <w:tc>
          <w:tcPr>
            <w:tcW w:w="1090" w:type="dxa"/>
          </w:tcPr>
          <w:p w14:paraId="40027DBE" w14:textId="77777777" w:rsidR="00C33CEB" w:rsidRPr="008C6A72" w:rsidRDefault="00C33CEB" w:rsidP="000751BD">
            <w:pPr>
              <w:pStyle w:val="TableParagraph"/>
              <w:spacing w:line="192" w:lineRule="exact"/>
              <w:ind w:left="189" w:right="185"/>
              <w:rPr>
                <w:rFonts w:ascii="Arial" w:hAnsi="Arial" w:cs="Arial"/>
                <w:sz w:val="18"/>
              </w:rPr>
            </w:pPr>
            <w:r w:rsidRPr="008C6A72">
              <w:rPr>
                <w:rFonts w:ascii="Arial" w:hAnsi="Arial" w:cs="Arial"/>
                <w:sz w:val="18"/>
              </w:rPr>
              <w:t>No Limit</w:t>
            </w:r>
          </w:p>
        </w:tc>
      </w:tr>
      <w:tr w:rsidR="0028550A" w:rsidRPr="008C6A72" w14:paraId="577875D5" w14:textId="77777777" w:rsidTr="00A55C24">
        <w:trPr>
          <w:trHeight w:val="249"/>
        </w:trPr>
        <w:tc>
          <w:tcPr>
            <w:tcW w:w="4872" w:type="dxa"/>
          </w:tcPr>
          <w:p w14:paraId="788288F8"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back hemisphere is 1 – 2 MH from property line</w:t>
            </w:r>
          </w:p>
        </w:tc>
        <w:tc>
          <w:tcPr>
            <w:tcW w:w="1080" w:type="dxa"/>
          </w:tcPr>
          <w:p w14:paraId="42CD87CE"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61DFD176" w14:textId="77777777" w:rsidR="00C33CEB" w:rsidRPr="008C6A72" w:rsidRDefault="00C33CEB" w:rsidP="000751BD">
            <w:pPr>
              <w:pStyle w:val="TableParagraph"/>
              <w:spacing w:line="195" w:lineRule="exact"/>
              <w:ind w:left="185" w:right="177"/>
              <w:rPr>
                <w:rFonts w:ascii="Arial" w:hAnsi="Arial" w:cs="Arial"/>
                <w:sz w:val="18"/>
              </w:rPr>
            </w:pPr>
            <w:r w:rsidRPr="008C6A72">
              <w:rPr>
                <w:rFonts w:ascii="Arial" w:hAnsi="Arial" w:cs="Arial"/>
                <w:sz w:val="18"/>
              </w:rPr>
              <w:t>B2</w:t>
            </w:r>
          </w:p>
        </w:tc>
        <w:tc>
          <w:tcPr>
            <w:tcW w:w="1078" w:type="dxa"/>
          </w:tcPr>
          <w:p w14:paraId="62737DB9"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B3</w:t>
            </w:r>
          </w:p>
        </w:tc>
        <w:tc>
          <w:tcPr>
            <w:tcW w:w="1080" w:type="dxa"/>
          </w:tcPr>
          <w:p w14:paraId="03AB0498"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B4</w:t>
            </w:r>
          </w:p>
        </w:tc>
        <w:tc>
          <w:tcPr>
            <w:tcW w:w="1090" w:type="dxa"/>
          </w:tcPr>
          <w:p w14:paraId="52DBDB4A" w14:textId="77777777" w:rsidR="00C33CEB" w:rsidRPr="008C6A72" w:rsidRDefault="00C33CEB" w:rsidP="000751BD">
            <w:pPr>
              <w:pStyle w:val="TableParagraph"/>
              <w:spacing w:line="195" w:lineRule="exact"/>
              <w:ind w:left="189" w:right="183"/>
              <w:rPr>
                <w:rFonts w:ascii="Arial" w:hAnsi="Arial" w:cs="Arial"/>
                <w:sz w:val="18"/>
              </w:rPr>
            </w:pPr>
            <w:r w:rsidRPr="008C6A72">
              <w:rPr>
                <w:rFonts w:ascii="Arial" w:hAnsi="Arial" w:cs="Arial"/>
                <w:sz w:val="18"/>
              </w:rPr>
              <w:t>B4</w:t>
            </w:r>
          </w:p>
        </w:tc>
      </w:tr>
      <w:tr w:rsidR="0028550A" w:rsidRPr="008C6A72" w14:paraId="6DEDFE9F" w14:textId="77777777" w:rsidTr="00A55C24">
        <w:trPr>
          <w:trHeight w:val="251"/>
        </w:trPr>
        <w:tc>
          <w:tcPr>
            <w:tcW w:w="4872" w:type="dxa"/>
          </w:tcPr>
          <w:p w14:paraId="434D3EF3"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back hemisphere is 0.5 – 1 MH from property line</w:t>
            </w:r>
          </w:p>
        </w:tc>
        <w:tc>
          <w:tcPr>
            <w:tcW w:w="1080" w:type="dxa"/>
          </w:tcPr>
          <w:p w14:paraId="0574D090"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6D71E772" w14:textId="77777777" w:rsidR="00C33CEB" w:rsidRPr="008C6A72" w:rsidRDefault="00C33CEB" w:rsidP="000751BD">
            <w:pPr>
              <w:pStyle w:val="TableParagraph"/>
              <w:spacing w:line="195" w:lineRule="exact"/>
              <w:ind w:left="185" w:right="177"/>
              <w:rPr>
                <w:rFonts w:ascii="Arial" w:hAnsi="Arial" w:cs="Arial"/>
                <w:sz w:val="18"/>
              </w:rPr>
            </w:pPr>
            <w:r w:rsidRPr="008C6A72">
              <w:rPr>
                <w:rFonts w:ascii="Arial" w:hAnsi="Arial" w:cs="Arial"/>
                <w:sz w:val="18"/>
              </w:rPr>
              <w:t>B1</w:t>
            </w:r>
          </w:p>
        </w:tc>
        <w:tc>
          <w:tcPr>
            <w:tcW w:w="1078" w:type="dxa"/>
          </w:tcPr>
          <w:p w14:paraId="45C8F707"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B2</w:t>
            </w:r>
          </w:p>
        </w:tc>
        <w:tc>
          <w:tcPr>
            <w:tcW w:w="1080" w:type="dxa"/>
          </w:tcPr>
          <w:p w14:paraId="49B98FB3"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B3</w:t>
            </w:r>
          </w:p>
        </w:tc>
        <w:tc>
          <w:tcPr>
            <w:tcW w:w="1090" w:type="dxa"/>
          </w:tcPr>
          <w:p w14:paraId="6ECA9CCB" w14:textId="77777777" w:rsidR="00C33CEB" w:rsidRPr="008C6A72" w:rsidRDefault="00C33CEB" w:rsidP="000751BD">
            <w:pPr>
              <w:pStyle w:val="TableParagraph"/>
              <w:spacing w:line="195" w:lineRule="exact"/>
              <w:ind w:left="189" w:right="183"/>
              <w:rPr>
                <w:rFonts w:ascii="Arial" w:hAnsi="Arial" w:cs="Arial"/>
                <w:sz w:val="18"/>
              </w:rPr>
            </w:pPr>
            <w:r w:rsidRPr="008C6A72">
              <w:rPr>
                <w:rFonts w:ascii="Arial" w:hAnsi="Arial" w:cs="Arial"/>
                <w:sz w:val="18"/>
              </w:rPr>
              <w:t>B3</w:t>
            </w:r>
          </w:p>
        </w:tc>
      </w:tr>
      <w:tr w:rsidR="0028550A" w:rsidRPr="008C6A72" w14:paraId="6524D464" w14:textId="77777777" w:rsidTr="00A55C24">
        <w:trPr>
          <w:trHeight w:val="249"/>
        </w:trPr>
        <w:tc>
          <w:tcPr>
            <w:tcW w:w="4872" w:type="dxa"/>
          </w:tcPr>
          <w:p w14:paraId="5E4E02BC" w14:textId="77777777"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Luminaire back hemisphere is less than 0.5 MH from property line</w:t>
            </w:r>
          </w:p>
        </w:tc>
        <w:tc>
          <w:tcPr>
            <w:tcW w:w="1080" w:type="dxa"/>
          </w:tcPr>
          <w:p w14:paraId="71CBD291" w14:textId="77777777"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14:paraId="3359F093" w14:textId="77777777" w:rsidR="00C33CEB" w:rsidRPr="008C6A72" w:rsidRDefault="00C33CEB" w:rsidP="000751BD">
            <w:pPr>
              <w:pStyle w:val="TableParagraph"/>
              <w:spacing w:line="192" w:lineRule="exact"/>
              <w:ind w:left="185" w:right="177"/>
              <w:rPr>
                <w:rFonts w:ascii="Arial" w:hAnsi="Arial" w:cs="Arial"/>
                <w:sz w:val="18"/>
              </w:rPr>
            </w:pPr>
            <w:r w:rsidRPr="008C6A72">
              <w:rPr>
                <w:rFonts w:ascii="Arial" w:hAnsi="Arial" w:cs="Arial"/>
                <w:sz w:val="18"/>
              </w:rPr>
              <w:t>B0</w:t>
            </w:r>
          </w:p>
        </w:tc>
        <w:tc>
          <w:tcPr>
            <w:tcW w:w="1078" w:type="dxa"/>
          </w:tcPr>
          <w:p w14:paraId="1C6F0076" w14:textId="77777777"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B0</w:t>
            </w:r>
          </w:p>
        </w:tc>
        <w:tc>
          <w:tcPr>
            <w:tcW w:w="1080" w:type="dxa"/>
          </w:tcPr>
          <w:p w14:paraId="69716629" w14:textId="77777777"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B1</w:t>
            </w:r>
          </w:p>
        </w:tc>
        <w:tc>
          <w:tcPr>
            <w:tcW w:w="1090" w:type="dxa"/>
          </w:tcPr>
          <w:p w14:paraId="3E69350C" w14:textId="77777777"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B2</w:t>
            </w:r>
          </w:p>
        </w:tc>
      </w:tr>
      <w:bookmarkEnd w:id="0"/>
    </w:tbl>
    <w:p w14:paraId="50F4E1A9" w14:textId="77777777" w:rsidR="00BE0B11" w:rsidRPr="00BE0B11" w:rsidRDefault="00BE0B11">
      <w:pPr>
        <w:rPr>
          <w:sz w:val="2"/>
          <w:szCs w:val="2"/>
        </w:rPr>
      </w:pPr>
    </w:p>
    <w:tbl>
      <w:tblPr>
        <w:tblStyle w:val="TableGrid"/>
        <w:tblW w:w="10278" w:type="dxa"/>
        <w:tblLayout w:type="fixed"/>
        <w:tblLook w:val="0620" w:firstRow="1" w:lastRow="0" w:firstColumn="0" w:lastColumn="0" w:noHBand="1" w:noVBand="1"/>
        <w:tblCaption w:val="Table 5.106.8 {N} - Maximum Allowable Uplight Rating"/>
        <w:tblDescription w:val="Striking footnote four.  Adding new footnote 3"/>
      </w:tblPr>
      <w:tblGrid>
        <w:gridCol w:w="4872"/>
        <w:gridCol w:w="1080"/>
        <w:gridCol w:w="1078"/>
        <w:gridCol w:w="1078"/>
        <w:gridCol w:w="1080"/>
        <w:gridCol w:w="1090"/>
      </w:tblGrid>
      <w:tr w:rsidR="00BE0B11" w:rsidRPr="008C6A72" w14:paraId="57F8E43E" w14:textId="77777777" w:rsidTr="00A55C24">
        <w:trPr>
          <w:cnfStyle w:val="100000000000" w:firstRow="1" w:lastRow="0" w:firstColumn="0" w:lastColumn="0" w:oddVBand="0" w:evenVBand="0" w:oddHBand="0" w:evenHBand="0" w:firstRowFirstColumn="0" w:firstRowLastColumn="0" w:lastRowFirstColumn="0" w:lastRowLastColumn="0"/>
          <w:trHeight w:val="249"/>
        </w:trPr>
        <w:tc>
          <w:tcPr>
            <w:tcW w:w="4872" w:type="dxa"/>
          </w:tcPr>
          <w:p w14:paraId="5D81E85C" w14:textId="77777777" w:rsidR="00BE0B11" w:rsidRPr="008C6A72" w:rsidRDefault="00BE0B11" w:rsidP="00BE0B11">
            <w:pPr>
              <w:pStyle w:val="TableParagraph"/>
              <w:spacing w:line="195" w:lineRule="exact"/>
              <w:ind w:left="43"/>
              <w:rPr>
                <w:rFonts w:ascii="Arial" w:hAnsi="Arial" w:cs="Arial"/>
                <w:b/>
                <w:sz w:val="18"/>
              </w:rPr>
            </w:pPr>
            <w:r w:rsidRPr="00F917A9">
              <w:rPr>
                <w:rFonts w:ascii="Arial" w:hAnsi="Arial" w:cs="Arial"/>
                <w:b/>
                <w:color w:val="000000" w:themeColor="text1"/>
                <w:sz w:val="18"/>
              </w:rPr>
              <w:t>Maximum Allowable Uplight Rating (U)</w:t>
            </w:r>
          </w:p>
        </w:tc>
        <w:tc>
          <w:tcPr>
            <w:tcW w:w="1080" w:type="dxa"/>
          </w:tcPr>
          <w:p w14:paraId="5BBBF4B3"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LZ0</w:t>
            </w:r>
          </w:p>
        </w:tc>
        <w:tc>
          <w:tcPr>
            <w:tcW w:w="1078" w:type="dxa"/>
          </w:tcPr>
          <w:p w14:paraId="54A76AB7" w14:textId="77777777" w:rsidR="00BE0B11" w:rsidRPr="00F917A9" w:rsidRDefault="00BE0B11" w:rsidP="00BE0B11">
            <w:pPr>
              <w:pStyle w:val="TableParagraph"/>
              <w:ind w:left="-21"/>
              <w:rPr>
                <w:rFonts w:ascii="Arial" w:hAnsi="Arial" w:cs="Arial"/>
                <w:b/>
                <w:sz w:val="13"/>
                <w:szCs w:val="13"/>
              </w:rPr>
            </w:pPr>
            <w:r w:rsidRPr="00F917A9">
              <w:rPr>
                <w:rFonts w:ascii="Arial" w:hAnsi="Arial" w:cs="Arial"/>
                <w:b/>
                <w:sz w:val="13"/>
                <w:szCs w:val="13"/>
              </w:rPr>
              <w:t>LIGHTING ZONE LZ1</w:t>
            </w:r>
          </w:p>
        </w:tc>
        <w:tc>
          <w:tcPr>
            <w:tcW w:w="1078" w:type="dxa"/>
          </w:tcPr>
          <w:p w14:paraId="35B5D9B4"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LZ2</w:t>
            </w:r>
          </w:p>
        </w:tc>
        <w:tc>
          <w:tcPr>
            <w:tcW w:w="1080" w:type="dxa"/>
          </w:tcPr>
          <w:p w14:paraId="1C6DA576" w14:textId="77777777" w:rsidR="00BE0B11" w:rsidRPr="00F917A9" w:rsidRDefault="00BE0B11" w:rsidP="00BE0B11">
            <w:pPr>
              <w:pStyle w:val="TableParagraph"/>
              <w:ind w:left="-15"/>
              <w:rPr>
                <w:rFonts w:ascii="Arial" w:hAnsi="Arial" w:cs="Arial"/>
                <w:b/>
                <w:sz w:val="13"/>
                <w:szCs w:val="13"/>
              </w:rPr>
            </w:pPr>
            <w:r w:rsidRPr="00F917A9">
              <w:rPr>
                <w:rFonts w:ascii="Arial" w:hAnsi="Arial" w:cs="Arial"/>
                <w:b/>
                <w:sz w:val="13"/>
                <w:szCs w:val="13"/>
              </w:rPr>
              <w:t>LIGHTING ZONE  LZ3</w:t>
            </w:r>
          </w:p>
        </w:tc>
        <w:tc>
          <w:tcPr>
            <w:tcW w:w="1090" w:type="dxa"/>
          </w:tcPr>
          <w:p w14:paraId="357155E4"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LZ4</w:t>
            </w:r>
          </w:p>
        </w:tc>
      </w:tr>
      <w:tr w:rsidR="0028550A" w:rsidRPr="008C6A72" w14:paraId="7B152224" w14:textId="77777777" w:rsidTr="00A55C24">
        <w:trPr>
          <w:trHeight w:val="251"/>
        </w:trPr>
        <w:tc>
          <w:tcPr>
            <w:tcW w:w="4872" w:type="dxa"/>
          </w:tcPr>
          <w:p w14:paraId="02590541"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For area lighting</w:t>
            </w:r>
            <w:r w:rsidRPr="008C6A72">
              <w:rPr>
                <w:rFonts w:ascii="Arial" w:hAnsi="Arial" w:cs="Arial"/>
                <w:strike/>
                <w:sz w:val="18"/>
                <w:vertAlign w:val="superscript"/>
              </w:rPr>
              <w:t>4</w:t>
            </w:r>
            <w:r w:rsidR="00203627" w:rsidRPr="008C6A72">
              <w:rPr>
                <w:rFonts w:ascii="Arial" w:hAnsi="Arial" w:cs="Arial"/>
                <w:strike/>
                <w:sz w:val="18"/>
                <w:vertAlign w:val="superscript"/>
              </w:rPr>
              <w:t xml:space="preserve"> </w:t>
            </w:r>
            <w:r w:rsidR="00203627" w:rsidRPr="008C6A72">
              <w:rPr>
                <w:rFonts w:ascii="Arial" w:hAnsi="Arial" w:cs="Arial"/>
                <w:sz w:val="18"/>
                <w:highlight w:val="yellow"/>
                <w:u w:val="single"/>
                <w:vertAlign w:val="superscript"/>
              </w:rPr>
              <w:t>3</w:t>
            </w:r>
            <w:r w:rsidR="00203627" w:rsidRPr="008C6A72">
              <w:rPr>
                <w:rFonts w:ascii="Arial" w:hAnsi="Arial" w:cs="Arial"/>
                <w:strike/>
                <w:sz w:val="18"/>
                <w:vertAlign w:val="superscript"/>
              </w:rPr>
              <w:t xml:space="preserve">  </w:t>
            </w:r>
          </w:p>
        </w:tc>
        <w:tc>
          <w:tcPr>
            <w:tcW w:w="1080" w:type="dxa"/>
          </w:tcPr>
          <w:p w14:paraId="2C2B4337"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12BE5C18" w14:textId="77777777"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U0</w:t>
            </w:r>
          </w:p>
        </w:tc>
        <w:tc>
          <w:tcPr>
            <w:tcW w:w="1078" w:type="dxa"/>
          </w:tcPr>
          <w:p w14:paraId="2BDFB74C"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U0</w:t>
            </w:r>
          </w:p>
        </w:tc>
        <w:tc>
          <w:tcPr>
            <w:tcW w:w="1080" w:type="dxa"/>
          </w:tcPr>
          <w:p w14:paraId="4087A963"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U0</w:t>
            </w:r>
          </w:p>
        </w:tc>
        <w:tc>
          <w:tcPr>
            <w:tcW w:w="1090" w:type="dxa"/>
          </w:tcPr>
          <w:p w14:paraId="2F7A1F72" w14:textId="77777777"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U0</w:t>
            </w:r>
          </w:p>
        </w:tc>
      </w:tr>
      <w:tr w:rsidR="0028550A" w:rsidRPr="008C6A72" w14:paraId="28192655" w14:textId="77777777" w:rsidTr="00A55C24">
        <w:trPr>
          <w:trHeight w:val="249"/>
        </w:trPr>
        <w:tc>
          <w:tcPr>
            <w:tcW w:w="4872" w:type="dxa"/>
          </w:tcPr>
          <w:p w14:paraId="74CBB516" w14:textId="77777777"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For all other outdoor lighting, including decorative luminaires</w:t>
            </w:r>
          </w:p>
        </w:tc>
        <w:tc>
          <w:tcPr>
            <w:tcW w:w="1080" w:type="dxa"/>
          </w:tcPr>
          <w:p w14:paraId="45EF107E" w14:textId="77777777"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14:paraId="7F588338" w14:textId="77777777" w:rsidR="00C33CEB" w:rsidRPr="008C6A72" w:rsidRDefault="00C33CEB" w:rsidP="000751BD">
            <w:pPr>
              <w:pStyle w:val="TableParagraph"/>
              <w:spacing w:line="192" w:lineRule="exact"/>
              <w:ind w:left="185" w:right="173"/>
              <w:rPr>
                <w:rFonts w:ascii="Arial" w:hAnsi="Arial" w:cs="Arial"/>
                <w:sz w:val="18"/>
              </w:rPr>
            </w:pPr>
            <w:r w:rsidRPr="008C6A72">
              <w:rPr>
                <w:rFonts w:ascii="Arial" w:hAnsi="Arial" w:cs="Arial"/>
                <w:sz w:val="18"/>
              </w:rPr>
              <w:t>U1</w:t>
            </w:r>
          </w:p>
        </w:tc>
        <w:tc>
          <w:tcPr>
            <w:tcW w:w="1078" w:type="dxa"/>
          </w:tcPr>
          <w:p w14:paraId="01AEE632" w14:textId="77777777"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U2</w:t>
            </w:r>
          </w:p>
        </w:tc>
        <w:tc>
          <w:tcPr>
            <w:tcW w:w="1080" w:type="dxa"/>
          </w:tcPr>
          <w:p w14:paraId="2DC1C08A" w14:textId="77777777"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U3</w:t>
            </w:r>
          </w:p>
        </w:tc>
        <w:tc>
          <w:tcPr>
            <w:tcW w:w="1090" w:type="dxa"/>
          </w:tcPr>
          <w:p w14:paraId="7D0446B2" w14:textId="77777777"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U4</w:t>
            </w:r>
          </w:p>
        </w:tc>
      </w:tr>
    </w:tbl>
    <w:p w14:paraId="67E05488" w14:textId="77777777" w:rsidR="00BE0B11" w:rsidRPr="00BE0B11" w:rsidRDefault="00BE0B11">
      <w:pPr>
        <w:rPr>
          <w:sz w:val="2"/>
          <w:szCs w:val="2"/>
        </w:rPr>
      </w:pPr>
    </w:p>
    <w:tbl>
      <w:tblPr>
        <w:tblStyle w:val="TableGrid"/>
        <w:tblW w:w="10278" w:type="dxa"/>
        <w:tblLayout w:type="fixed"/>
        <w:tblLook w:val="0620" w:firstRow="1" w:lastRow="0" w:firstColumn="0" w:lastColumn="0" w:noHBand="1" w:noVBand="1"/>
        <w:tblCaption w:val="Table 5.106.8 {N} - Maximum Allowable Glare Rating"/>
        <w:tblDescription w:val="Striking footnote five"/>
      </w:tblPr>
      <w:tblGrid>
        <w:gridCol w:w="4872"/>
        <w:gridCol w:w="1080"/>
        <w:gridCol w:w="1078"/>
        <w:gridCol w:w="1078"/>
        <w:gridCol w:w="1080"/>
        <w:gridCol w:w="1090"/>
      </w:tblGrid>
      <w:tr w:rsidR="00BE0B11" w:rsidRPr="008C6A72" w14:paraId="1D33511D" w14:textId="77777777" w:rsidTr="00A55C24">
        <w:trPr>
          <w:cnfStyle w:val="100000000000" w:firstRow="1" w:lastRow="0" w:firstColumn="0" w:lastColumn="0" w:oddVBand="0" w:evenVBand="0" w:oddHBand="0" w:evenHBand="0" w:firstRowFirstColumn="0" w:firstRowLastColumn="0" w:lastRowFirstColumn="0" w:lastRowLastColumn="0"/>
          <w:trHeight w:val="249"/>
        </w:trPr>
        <w:tc>
          <w:tcPr>
            <w:tcW w:w="4872" w:type="dxa"/>
          </w:tcPr>
          <w:p w14:paraId="2417D474" w14:textId="77777777" w:rsidR="00BE0B11" w:rsidRPr="00F917A9" w:rsidRDefault="00BE0B11" w:rsidP="00BE0B11">
            <w:pPr>
              <w:pStyle w:val="TableParagraph"/>
              <w:spacing w:line="195" w:lineRule="exact"/>
              <w:ind w:left="43"/>
              <w:rPr>
                <w:rFonts w:ascii="Arial" w:hAnsi="Arial" w:cs="Arial"/>
                <w:b/>
                <w:color w:val="000000" w:themeColor="text1"/>
                <w:sz w:val="18"/>
              </w:rPr>
            </w:pPr>
            <w:r w:rsidRPr="00F917A9">
              <w:rPr>
                <w:rFonts w:ascii="Arial" w:hAnsi="Arial" w:cs="Arial"/>
                <w:b/>
                <w:color w:val="000000" w:themeColor="text1"/>
                <w:sz w:val="18"/>
              </w:rPr>
              <w:t>Maximum Allowable Glare Rating</w:t>
            </w:r>
            <w:r w:rsidRPr="00F917A9">
              <w:rPr>
                <w:rFonts w:ascii="Arial" w:hAnsi="Arial" w:cs="Arial"/>
                <w:b/>
                <w:strike/>
                <w:color w:val="000000" w:themeColor="text1"/>
                <w:position w:val="7"/>
                <w:sz w:val="11"/>
                <w:highlight w:val="yellow"/>
              </w:rPr>
              <w:t>5</w:t>
            </w:r>
            <w:r w:rsidRPr="00F917A9">
              <w:rPr>
                <w:rFonts w:ascii="Arial" w:hAnsi="Arial" w:cs="Arial"/>
                <w:b/>
                <w:color w:val="000000" w:themeColor="text1"/>
                <w:position w:val="7"/>
                <w:sz w:val="11"/>
              </w:rPr>
              <w:t xml:space="preserve"> </w:t>
            </w:r>
            <w:r w:rsidRPr="00F917A9">
              <w:rPr>
                <w:rFonts w:ascii="Arial" w:hAnsi="Arial" w:cs="Arial"/>
                <w:b/>
                <w:color w:val="000000" w:themeColor="text1"/>
                <w:sz w:val="18"/>
              </w:rPr>
              <w:t>(G)</w:t>
            </w:r>
          </w:p>
        </w:tc>
        <w:tc>
          <w:tcPr>
            <w:tcW w:w="1080" w:type="dxa"/>
          </w:tcPr>
          <w:p w14:paraId="413E20F6"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LZ0</w:t>
            </w:r>
          </w:p>
        </w:tc>
        <w:tc>
          <w:tcPr>
            <w:tcW w:w="1078" w:type="dxa"/>
          </w:tcPr>
          <w:p w14:paraId="07834766" w14:textId="77777777" w:rsidR="00BE0B11" w:rsidRPr="00F917A9" w:rsidRDefault="00BE0B11" w:rsidP="00BE0B11">
            <w:pPr>
              <w:pStyle w:val="TableParagraph"/>
              <w:ind w:left="-21"/>
              <w:rPr>
                <w:rFonts w:ascii="Arial" w:hAnsi="Arial" w:cs="Arial"/>
                <w:b/>
                <w:sz w:val="13"/>
                <w:szCs w:val="13"/>
              </w:rPr>
            </w:pPr>
            <w:r w:rsidRPr="00F917A9">
              <w:rPr>
                <w:rFonts w:ascii="Arial" w:hAnsi="Arial" w:cs="Arial"/>
                <w:b/>
                <w:sz w:val="13"/>
                <w:szCs w:val="13"/>
              </w:rPr>
              <w:t>LIGHTING ZONE LZ1</w:t>
            </w:r>
          </w:p>
        </w:tc>
        <w:tc>
          <w:tcPr>
            <w:tcW w:w="1078" w:type="dxa"/>
          </w:tcPr>
          <w:p w14:paraId="5256D936"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LZ2</w:t>
            </w:r>
          </w:p>
        </w:tc>
        <w:tc>
          <w:tcPr>
            <w:tcW w:w="1080" w:type="dxa"/>
          </w:tcPr>
          <w:p w14:paraId="68D7DF8E" w14:textId="77777777" w:rsidR="00BE0B11" w:rsidRPr="00F917A9" w:rsidRDefault="00BE0B11" w:rsidP="00BE0B11">
            <w:pPr>
              <w:pStyle w:val="TableParagraph"/>
              <w:ind w:left="-15"/>
              <w:rPr>
                <w:rFonts w:ascii="Arial" w:hAnsi="Arial" w:cs="Arial"/>
                <w:b/>
                <w:sz w:val="13"/>
                <w:szCs w:val="13"/>
              </w:rPr>
            </w:pPr>
            <w:r w:rsidRPr="00F917A9">
              <w:rPr>
                <w:rFonts w:ascii="Arial" w:hAnsi="Arial" w:cs="Arial"/>
                <w:b/>
                <w:sz w:val="13"/>
                <w:szCs w:val="13"/>
              </w:rPr>
              <w:t>LIGHTING ZONE  LZ3</w:t>
            </w:r>
          </w:p>
        </w:tc>
        <w:tc>
          <w:tcPr>
            <w:tcW w:w="1090" w:type="dxa"/>
          </w:tcPr>
          <w:p w14:paraId="3CA83CDA" w14:textId="77777777" w:rsidR="00BE0B11" w:rsidRPr="00F917A9" w:rsidRDefault="00BE0B11" w:rsidP="00BE0B11">
            <w:pPr>
              <w:pStyle w:val="TableParagraph"/>
              <w:ind w:left="0"/>
              <w:rPr>
                <w:rFonts w:ascii="Arial" w:hAnsi="Arial" w:cs="Arial"/>
                <w:b/>
                <w:sz w:val="13"/>
                <w:szCs w:val="13"/>
              </w:rPr>
            </w:pPr>
            <w:r w:rsidRPr="00F917A9">
              <w:rPr>
                <w:rFonts w:ascii="Arial" w:hAnsi="Arial" w:cs="Arial"/>
                <w:b/>
                <w:sz w:val="13"/>
                <w:szCs w:val="13"/>
              </w:rPr>
              <w:t>LIGHTING ZONE  LZ4</w:t>
            </w:r>
          </w:p>
        </w:tc>
      </w:tr>
      <w:tr w:rsidR="0028550A" w:rsidRPr="008C6A72" w14:paraId="55B74711" w14:textId="77777777" w:rsidTr="00A55C24">
        <w:trPr>
          <w:trHeight w:val="251"/>
        </w:trPr>
        <w:tc>
          <w:tcPr>
            <w:tcW w:w="4872" w:type="dxa"/>
          </w:tcPr>
          <w:p w14:paraId="54BB77D0"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greater than 2 MH from property line</w:t>
            </w:r>
          </w:p>
        </w:tc>
        <w:tc>
          <w:tcPr>
            <w:tcW w:w="1080" w:type="dxa"/>
          </w:tcPr>
          <w:p w14:paraId="36F03BD5"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393428FB" w14:textId="77777777"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G1</w:t>
            </w:r>
          </w:p>
        </w:tc>
        <w:tc>
          <w:tcPr>
            <w:tcW w:w="1078" w:type="dxa"/>
          </w:tcPr>
          <w:p w14:paraId="2114ED6B"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G2</w:t>
            </w:r>
          </w:p>
        </w:tc>
        <w:tc>
          <w:tcPr>
            <w:tcW w:w="1080" w:type="dxa"/>
          </w:tcPr>
          <w:p w14:paraId="3AE4D93E"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G3</w:t>
            </w:r>
          </w:p>
        </w:tc>
        <w:tc>
          <w:tcPr>
            <w:tcW w:w="1090" w:type="dxa"/>
          </w:tcPr>
          <w:p w14:paraId="786F0247" w14:textId="77777777"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G4</w:t>
            </w:r>
          </w:p>
        </w:tc>
      </w:tr>
      <w:tr w:rsidR="0028550A" w:rsidRPr="008C6A72" w14:paraId="10D4A203" w14:textId="77777777" w:rsidTr="00A55C24">
        <w:trPr>
          <w:trHeight w:val="249"/>
        </w:trPr>
        <w:tc>
          <w:tcPr>
            <w:tcW w:w="4872" w:type="dxa"/>
          </w:tcPr>
          <w:p w14:paraId="732E38F4" w14:textId="77777777" w:rsidR="00C33CEB" w:rsidRPr="008C6A72" w:rsidRDefault="00C33CEB" w:rsidP="000751BD">
            <w:pPr>
              <w:pStyle w:val="TableParagraph"/>
              <w:spacing w:line="192" w:lineRule="exact"/>
              <w:ind w:left="40"/>
              <w:rPr>
                <w:rFonts w:ascii="Arial" w:hAnsi="Arial" w:cs="Arial"/>
                <w:sz w:val="18"/>
              </w:rPr>
            </w:pPr>
            <w:r w:rsidRPr="008C6A72">
              <w:rPr>
                <w:rFonts w:ascii="Arial" w:hAnsi="Arial" w:cs="Arial"/>
                <w:sz w:val="18"/>
              </w:rPr>
              <w:t>Luminaire front hemisphere is 1 – 2 MH from property line</w:t>
            </w:r>
          </w:p>
        </w:tc>
        <w:tc>
          <w:tcPr>
            <w:tcW w:w="1080" w:type="dxa"/>
          </w:tcPr>
          <w:p w14:paraId="4F4BEA6A" w14:textId="77777777" w:rsidR="00C33CEB" w:rsidRPr="008C6A72" w:rsidRDefault="00C33CEB" w:rsidP="000751BD">
            <w:pPr>
              <w:pStyle w:val="TableParagraph"/>
              <w:spacing w:line="192" w:lineRule="exact"/>
              <w:ind w:left="187" w:right="175"/>
              <w:rPr>
                <w:rFonts w:ascii="Arial" w:hAnsi="Arial" w:cs="Arial"/>
                <w:sz w:val="18"/>
              </w:rPr>
            </w:pPr>
            <w:r w:rsidRPr="008C6A72">
              <w:rPr>
                <w:rFonts w:ascii="Arial" w:hAnsi="Arial" w:cs="Arial"/>
                <w:sz w:val="18"/>
              </w:rPr>
              <w:t>N/A</w:t>
            </w:r>
          </w:p>
        </w:tc>
        <w:tc>
          <w:tcPr>
            <w:tcW w:w="1078" w:type="dxa"/>
          </w:tcPr>
          <w:p w14:paraId="2E6CD56D" w14:textId="77777777" w:rsidR="00C33CEB" w:rsidRPr="008C6A72" w:rsidRDefault="00C33CEB" w:rsidP="000751BD">
            <w:pPr>
              <w:pStyle w:val="TableParagraph"/>
              <w:spacing w:line="192" w:lineRule="exact"/>
              <w:ind w:left="185" w:right="173"/>
              <w:rPr>
                <w:rFonts w:ascii="Arial" w:hAnsi="Arial" w:cs="Arial"/>
                <w:sz w:val="18"/>
              </w:rPr>
            </w:pPr>
            <w:r w:rsidRPr="008C6A72">
              <w:rPr>
                <w:rFonts w:ascii="Arial" w:hAnsi="Arial" w:cs="Arial"/>
                <w:sz w:val="18"/>
              </w:rPr>
              <w:t>G0</w:t>
            </w:r>
          </w:p>
        </w:tc>
        <w:tc>
          <w:tcPr>
            <w:tcW w:w="1078" w:type="dxa"/>
          </w:tcPr>
          <w:p w14:paraId="2044862C" w14:textId="77777777" w:rsidR="00C33CEB" w:rsidRPr="008C6A72" w:rsidRDefault="00C33CEB" w:rsidP="000751BD">
            <w:pPr>
              <w:pStyle w:val="TableParagraph"/>
              <w:spacing w:line="192" w:lineRule="exact"/>
              <w:ind w:left="185" w:right="176"/>
              <w:rPr>
                <w:rFonts w:ascii="Arial" w:hAnsi="Arial" w:cs="Arial"/>
                <w:sz w:val="18"/>
              </w:rPr>
            </w:pPr>
            <w:r w:rsidRPr="008C6A72">
              <w:rPr>
                <w:rFonts w:ascii="Arial" w:hAnsi="Arial" w:cs="Arial"/>
                <w:sz w:val="18"/>
              </w:rPr>
              <w:t>G1</w:t>
            </w:r>
          </w:p>
        </w:tc>
        <w:tc>
          <w:tcPr>
            <w:tcW w:w="1080" w:type="dxa"/>
          </w:tcPr>
          <w:p w14:paraId="7FDC1C13" w14:textId="77777777" w:rsidR="00C33CEB" w:rsidRPr="008C6A72" w:rsidRDefault="00C33CEB" w:rsidP="000751BD">
            <w:pPr>
              <w:pStyle w:val="TableParagraph"/>
              <w:spacing w:line="192" w:lineRule="exact"/>
              <w:ind w:left="184" w:right="178"/>
              <w:rPr>
                <w:rFonts w:ascii="Arial" w:hAnsi="Arial" w:cs="Arial"/>
                <w:sz w:val="18"/>
              </w:rPr>
            </w:pPr>
            <w:r w:rsidRPr="008C6A72">
              <w:rPr>
                <w:rFonts w:ascii="Arial" w:hAnsi="Arial" w:cs="Arial"/>
                <w:sz w:val="18"/>
              </w:rPr>
              <w:t>G1</w:t>
            </w:r>
          </w:p>
        </w:tc>
        <w:tc>
          <w:tcPr>
            <w:tcW w:w="1090" w:type="dxa"/>
          </w:tcPr>
          <w:p w14:paraId="3A2DF9CB" w14:textId="77777777" w:rsidR="00C33CEB" w:rsidRPr="008C6A72" w:rsidRDefault="00C33CEB" w:rsidP="000751BD">
            <w:pPr>
              <w:pStyle w:val="TableParagraph"/>
              <w:spacing w:line="192" w:lineRule="exact"/>
              <w:ind w:left="189" w:right="184"/>
              <w:rPr>
                <w:rFonts w:ascii="Arial" w:hAnsi="Arial" w:cs="Arial"/>
                <w:sz w:val="18"/>
              </w:rPr>
            </w:pPr>
            <w:r w:rsidRPr="008C6A72">
              <w:rPr>
                <w:rFonts w:ascii="Arial" w:hAnsi="Arial" w:cs="Arial"/>
                <w:sz w:val="18"/>
              </w:rPr>
              <w:t>G2</w:t>
            </w:r>
          </w:p>
        </w:tc>
      </w:tr>
      <w:tr w:rsidR="0028550A" w:rsidRPr="008C6A72" w14:paraId="7428A0D2" w14:textId="77777777" w:rsidTr="00A55C24">
        <w:trPr>
          <w:trHeight w:val="249"/>
        </w:trPr>
        <w:tc>
          <w:tcPr>
            <w:tcW w:w="4872" w:type="dxa"/>
          </w:tcPr>
          <w:p w14:paraId="48580895"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z w:val="18"/>
              </w:rPr>
              <w:t>Luminaire front hemisphere is 0.5 – 1 MH from property line</w:t>
            </w:r>
          </w:p>
        </w:tc>
        <w:tc>
          <w:tcPr>
            <w:tcW w:w="1080" w:type="dxa"/>
          </w:tcPr>
          <w:p w14:paraId="744E1E82"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73F54E05" w14:textId="77777777"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G0</w:t>
            </w:r>
          </w:p>
        </w:tc>
        <w:tc>
          <w:tcPr>
            <w:tcW w:w="1078" w:type="dxa"/>
          </w:tcPr>
          <w:p w14:paraId="24BF0C21"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G0</w:t>
            </w:r>
          </w:p>
        </w:tc>
        <w:tc>
          <w:tcPr>
            <w:tcW w:w="1080" w:type="dxa"/>
          </w:tcPr>
          <w:p w14:paraId="504120A2"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G1</w:t>
            </w:r>
          </w:p>
        </w:tc>
        <w:tc>
          <w:tcPr>
            <w:tcW w:w="1090" w:type="dxa"/>
          </w:tcPr>
          <w:p w14:paraId="6D8DCE1A" w14:textId="77777777"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G1</w:t>
            </w:r>
          </w:p>
        </w:tc>
      </w:tr>
      <w:tr w:rsidR="0028550A" w:rsidRPr="008C6A72" w14:paraId="27BEFC9D" w14:textId="77777777" w:rsidTr="00A55C24">
        <w:trPr>
          <w:trHeight w:val="251"/>
        </w:trPr>
        <w:tc>
          <w:tcPr>
            <w:tcW w:w="4872" w:type="dxa"/>
          </w:tcPr>
          <w:p w14:paraId="55AE8F59" w14:textId="77777777" w:rsidR="00C33CEB" w:rsidRPr="008C6A72" w:rsidRDefault="00C33CEB" w:rsidP="000751BD">
            <w:pPr>
              <w:pStyle w:val="TableParagraph"/>
              <w:spacing w:line="195" w:lineRule="exact"/>
              <w:ind w:left="40"/>
              <w:rPr>
                <w:rFonts w:ascii="Arial" w:hAnsi="Arial" w:cs="Arial"/>
                <w:sz w:val="18"/>
              </w:rPr>
            </w:pPr>
            <w:r w:rsidRPr="008C6A72">
              <w:rPr>
                <w:rFonts w:ascii="Arial" w:hAnsi="Arial" w:cs="Arial"/>
                <w:spacing w:val="-6"/>
                <w:sz w:val="18"/>
              </w:rPr>
              <w:t xml:space="preserve">Luminaire </w:t>
            </w:r>
            <w:r w:rsidRPr="008C6A72">
              <w:rPr>
                <w:rFonts w:ascii="Arial" w:hAnsi="Arial" w:cs="Arial"/>
                <w:spacing w:val="-5"/>
                <w:sz w:val="18"/>
              </w:rPr>
              <w:t xml:space="preserve">front </w:t>
            </w:r>
            <w:r w:rsidRPr="008C6A72">
              <w:rPr>
                <w:rFonts w:ascii="Arial" w:hAnsi="Arial" w:cs="Arial"/>
                <w:spacing w:val="-7"/>
                <w:sz w:val="18"/>
              </w:rPr>
              <w:t xml:space="preserve">hemisphere </w:t>
            </w:r>
            <w:r w:rsidRPr="008C6A72">
              <w:rPr>
                <w:rFonts w:ascii="Arial" w:hAnsi="Arial" w:cs="Arial"/>
                <w:spacing w:val="-4"/>
                <w:sz w:val="18"/>
              </w:rPr>
              <w:t xml:space="preserve">is </w:t>
            </w:r>
            <w:r w:rsidRPr="008C6A72">
              <w:rPr>
                <w:rFonts w:ascii="Arial" w:hAnsi="Arial" w:cs="Arial"/>
                <w:spacing w:val="-6"/>
                <w:sz w:val="18"/>
              </w:rPr>
              <w:t xml:space="preserve">less than </w:t>
            </w:r>
            <w:r w:rsidRPr="008C6A72">
              <w:rPr>
                <w:rFonts w:ascii="Arial" w:hAnsi="Arial" w:cs="Arial"/>
                <w:spacing w:val="-4"/>
                <w:sz w:val="18"/>
              </w:rPr>
              <w:t xml:space="preserve">0.5 </w:t>
            </w:r>
            <w:r w:rsidRPr="008C6A72">
              <w:rPr>
                <w:rFonts w:ascii="Arial" w:hAnsi="Arial" w:cs="Arial"/>
                <w:spacing w:val="-3"/>
                <w:sz w:val="18"/>
              </w:rPr>
              <w:t xml:space="preserve">MH </w:t>
            </w:r>
            <w:r w:rsidRPr="008C6A72">
              <w:rPr>
                <w:rFonts w:ascii="Arial" w:hAnsi="Arial" w:cs="Arial"/>
                <w:spacing w:val="-5"/>
                <w:sz w:val="18"/>
              </w:rPr>
              <w:t xml:space="preserve">from </w:t>
            </w:r>
            <w:r w:rsidRPr="008C6A72">
              <w:rPr>
                <w:rFonts w:ascii="Arial" w:hAnsi="Arial" w:cs="Arial"/>
                <w:spacing w:val="-6"/>
                <w:sz w:val="18"/>
              </w:rPr>
              <w:t xml:space="preserve">property </w:t>
            </w:r>
            <w:r w:rsidRPr="008C6A72">
              <w:rPr>
                <w:rFonts w:ascii="Arial" w:hAnsi="Arial" w:cs="Arial"/>
                <w:spacing w:val="-5"/>
                <w:sz w:val="18"/>
              </w:rPr>
              <w:t>line</w:t>
            </w:r>
          </w:p>
        </w:tc>
        <w:tc>
          <w:tcPr>
            <w:tcW w:w="1080" w:type="dxa"/>
          </w:tcPr>
          <w:p w14:paraId="24BE3B4D" w14:textId="77777777" w:rsidR="00C33CEB" w:rsidRPr="008C6A72" w:rsidRDefault="00C33CEB" w:rsidP="000751BD">
            <w:pPr>
              <w:pStyle w:val="TableParagraph"/>
              <w:spacing w:line="195" w:lineRule="exact"/>
              <w:ind w:left="187" w:right="175"/>
              <w:rPr>
                <w:rFonts w:ascii="Arial" w:hAnsi="Arial" w:cs="Arial"/>
                <w:sz w:val="18"/>
              </w:rPr>
            </w:pPr>
            <w:r w:rsidRPr="008C6A72">
              <w:rPr>
                <w:rFonts w:ascii="Arial" w:hAnsi="Arial" w:cs="Arial"/>
                <w:sz w:val="18"/>
              </w:rPr>
              <w:t>N/A</w:t>
            </w:r>
          </w:p>
        </w:tc>
        <w:tc>
          <w:tcPr>
            <w:tcW w:w="1078" w:type="dxa"/>
          </w:tcPr>
          <w:p w14:paraId="30F5B704" w14:textId="77777777" w:rsidR="00C33CEB" w:rsidRPr="008C6A72" w:rsidRDefault="00C33CEB" w:rsidP="000751BD">
            <w:pPr>
              <w:pStyle w:val="TableParagraph"/>
              <w:spacing w:line="195" w:lineRule="exact"/>
              <w:ind w:left="185" w:right="173"/>
              <w:rPr>
                <w:rFonts w:ascii="Arial" w:hAnsi="Arial" w:cs="Arial"/>
                <w:sz w:val="18"/>
              </w:rPr>
            </w:pPr>
            <w:r w:rsidRPr="008C6A72">
              <w:rPr>
                <w:rFonts w:ascii="Arial" w:hAnsi="Arial" w:cs="Arial"/>
                <w:sz w:val="18"/>
              </w:rPr>
              <w:t>G0</w:t>
            </w:r>
          </w:p>
        </w:tc>
        <w:tc>
          <w:tcPr>
            <w:tcW w:w="1078" w:type="dxa"/>
          </w:tcPr>
          <w:p w14:paraId="5D7AD736" w14:textId="77777777" w:rsidR="00C33CEB" w:rsidRPr="008C6A72" w:rsidRDefault="00C33CEB" w:rsidP="000751BD">
            <w:pPr>
              <w:pStyle w:val="TableParagraph"/>
              <w:spacing w:line="195" w:lineRule="exact"/>
              <w:ind w:left="185" w:right="176"/>
              <w:rPr>
                <w:rFonts w:ascii="Arial" w:hAnsi="Arial" w:cs="Arial"/>
                <w:sz w:val="18"/>
              </w:rPr>
            </w:pPr>
            <w:r w:rsidRPr="008C6A72">
              <w:rPr>
                <w:rFonts w:ascii="Arial" w:hAnsi="Arial" w:cs="Arial"/>
                <w:sz w:val="18"/>
              </w:rPr>
              <w:t>G0</w:t>
            </w:r>
          </w:p>
        </w:tc>
        <w:tc>
          <w:tcPr>
            <w:tcW w:w="1080" w:type="dxa"/>
          </w:tcPr>
          <w:p w14:paraId="4C9F2CC0" w14:textId="77777777" w:rsidR="00C33CEB" w:rsidRPr="008C6A72" w:rsidRDefault="00C33CEB" w:rsidP="000751BD">
            <w:pPr>
              <w:pStyle w:val="TableParagraph"/>
              <w:spacing w:line="195" w:lineRule="exact"/>
              <w:ind w:left="184" w:right="178"/>
              <w:rPr>
                <w:rFonts w:ascii="Arial" w:hAnsi="Arial" w:cs="Arial"/>
                <w:sz w:val="18"/>
              </w:rPr>
            </w:pPr>
            <w:r w:rsidRPr="008C6A72">
              <w:rPr>
                <w:rFonts w:ascii="Arial" w:hAnsi="Arial" w:cs="Arial"/>
                <w:sz w:val="18"/>
              </w:rPr>
              <w:t>G0</w:t>
            </w:r>
          </w:p>
        </w:tc>
        <w:tc>
          <w:tcPr>
            <w:tcW w:w="1090" w:type="dxa"/>
          </w:tcPr>
          <w:p w14:paraId="11849E71" w14:textId="77777777" w:rsidR="00C33CEB" w:rsidRPr="008C6A72" w:rsidRDefault="00C33CEB" w:rsidP="000751BD">
            <w:pPr>
              <w:pStyle w:val="TableParagraph"/>
              <w:spacing w:line="195" w:lineRule="exact"/>
              <w:ind w:left="189" w:right="184"/>
              <w:rPr>
                <w:rFonts w:ascii="Arial" w:hAnsi="Arial" w:cs="Arial"/>
                <w:sz w:val="18"/>
              </w:rPr>
            </w:pPr>
            <w:r w:rsidRPr="008C6A72">
              <w:rPr>
                <w:rFonts w:ascii="Arial" w:hAnsi="Arial" w:cs="Arial"/>
                <w:sz w:val="18"/>
              </w:rPr>
              <w:t>G1</w:t>
            </w:r>
          </w:p>
        </w:tc>
      </w:tr>
    </w:tbl>
    <w:p w14:paraId="64EDE947" w14:textId="77777777" w:rsidR="007A74E0" w:rsidRPr="005167C8" w:rsidRDefault="007A74E0" w:rsidP="007A74E0">
      <w:pPr>
        <w:rPr>
          <w:rFonts w:cs="Arial"/>
          <w:b/>
          <w:i/>
        </w:rPr>
      </w:pPr>
    </w:p>
    <w:p w14:paraId="161B2542" w14:textId="3831904B" w:rsidR="00C33CEB" w:rsidRPr="002B71B1" w:rsidRDefault="00C33CEB" w:rsidP="00475ED8">
      <w:pPr>
        <w:numPr>
          <w:ilvl w:val="0"/>
          <w:numId w:val="27"/>
        </w:numPr>
        <w:rPr>
          <w:rFonts w:cs="Arial"/>
          <w:b/>
          <w:i/>
        </w:rPr>
      </w:pPr>
      <w:r w:rsidRPr="002B71B1">
        <w:rPr>
          <w:rFonts w:cs="Arial"/>
        </w:rPr>
        <w:t xml:space="preserve">IESNA Lighting Zones 0 are not applicable; refer to Lighting Zones as defined in the </w:t>
      </w:r>
      <w:r w:rsidRPr="00DC113B">
        <w:rPr>
          <w:rFonts w:cs="Arial"/>
          <w:i/>
        </w:rPr>
        <w:t>California Energy Code</w:t>
      </w:r>
      <w:r w:rsidRPr="002B71B1">
        <w:rPr>
          <w:rFonts w:cs="Arial"/>
        </w:rPr>
        <w:t xml:space="preserve"> and Chapter 10 of the </w:t>
      </w:r>
      <w:r w:rsidRPr="00DC113B">
        <w:rPr>
          <w:rFonts w:cs="Arial"/>
          <w:i/>
        </w:rPr>
        <w:t>California Administrative Code</w:t>
      </w:r>
      <w:r w:rsidRPr="002B71B1">
        <w:rPr>
          <w:rFonts w:cs="Arial"/>
        </w:rPr>
        <w:t>.</w:t>
      </w:r>
    </w:p>
    <w:p w14:paraId="2A710E00" w14:textId="77777777" w:rsidR="00C33CEB" w:rsidRPr="002B71B1" w:rsidRDefault="00C33CEB" w:rsidP="00C33CEB">
      <w:pPr>
        <w:ind w:left="450"/>
        <w:rPr>
          <w:rFonts w:cs="Arial"/>
        </w:rPr>
      </w:pPr>
    </w:p>
    <w:p w14:paraId="4E32D23E" w14:textId="1817472C" w:rsidR="00C33CEB" w:rsidRPr="002B71B1" w:rsidRDefault="00C33CEB" w:rsidP="00475ED8">
      <w:pPr>
        <w:numPr>
          <w:ilvl w:val="0"/>
          <w:numId w:val="27"/>
        </w:numPr>
        <w:rPr>
          <w:rFonts w:cs="Arial"/>
        </w:rPr>
      </w:pPr>
      <w:r w:rsidRPr="002B71B1">
        <w:rPr>
          <w:rFonts w:cs="Arial"/>
        </w:rPr>
        <w:t xml:space="preserve">For property lines that abut public walkways, bikeways, plazas and parking lots, the property line may </w:t>
      </w:r>
      <w:proofErr w:type="gramStart"/>
      <w:r w:rsidRPr="002B71B1">
        <w:rPr>
          <w:rFonts w:cs="Arial"/>
        </w:rPr>
        <w:t>be considered to be</w:t>
      </w:r>
      <w:proofErr w:type="gramEnd"/>
      <w:r w:rsidRPr="002B71B1">
        <w:rPr>
          <w:rFonts w:cs="Arial"/>
        </w:rPr>
        <w:t xml:space="preserve"> 5 feet beyond the actual property line for purpose of determining compliance with this section. For property lines that abut public roadways and public transit corridors, the property line may </w:t>
      </w:r>
      <w:proofErr w:type="gramStart"/>
      <w:r w:rsidRPr="002B71B1">
        <w:rPr>
          <w:rFonts w:cs="Arial"/>
        </w:rPr>
        <w:t>be considered to be</w:t>
      </w:r>
      <w:proofErr w:type="gramEnd"/>
      <w:r w:rsidRPr="002B71B1">
        <w:rPr>
          <w:rFonts w:cs="Arial"/>
        </w:rPr>
        <w:t xml:space="preserve"> the centerline of the public roadway or public transit corridor for the purpose of determining compliance with this section.</w:t>
      </w:r>
    </w:p>
    <w:p w14:paraId="0EB86FDD" w14:textId="77777777" w:rsidR="00C33CEB" w:rsidRPr="002B71B1" w:rsidRDefault="00C33CEB" w:rsidP="00C33CEB">
      <w:pPr>
        <w:ind w:left="450"/>
        <w:rPr>
          <w:rFonts w:cs="Arial"/>
        </w:rPr>
      </w:pPr>
    </w:p>
    <w:p w14:paraId="54A834DF" w14:textId="4888C43A" w:rsidR="00C33CEB" w:rsidRPr="00E24D8C" w:rsidRDefault="00C33CEB" w:rsidP="00C33CEB">
      <w:pPr>
        <w:ind w:left="450"/>
        <w:rPr>
          <w:rFonts w:cs="Arial"/>
        </w:rPr>
      </w:pPr>
      <w:r w:rsidRPr="002B71B1">
        <w:rPr>
          <w:rFonts w:cs="Arial"/>
          <w:strike/>
        </w:rPr>
        <w:t>3.</w:t>
      </w:r>
      <w:r w:rsidRPr="002B71B1">
        <w:rPr>
          <w:rFonts w:cs="Arial"/>
          <w:strike/>
        </w:rPr>
        <w:tab/>
        <w:t>If the nearest property line is less than or equal to two mounting heights from the back hemisphere of the luminaire distribution, the applicable reduced Backlight rating shall be met.</w:t>
      </w:r>
      <w:r w:rsidR="00E24D8C" w:rsidRPr="00E24D8C">
        <w:rPr>
          <w:rFonts w:cs="Arial"/>
          <w:snapToGrid w:val="0"/>
        </w:rPr>
        <w:t xml:space="preserve"> </w:t>
      </w:r>
    </w:p>
    <w:p w14:paraId="540122B5" w14:textId="77777777" w:rsidR="00C33CEB" w:rsidRPr="002B71B1" w:rsidRDefault="00C33CEB" w:rsidP="00C33CEB">
      <w:pPr>
        <w:ind w:left="450"/>
        <w:rPr>
          <w:rFonts w:cs="Arial"/>
        </w:rPr>
      </w:pPr>
    </w:p>
    <w:p w14:paraId="4A9D4F79" w14:textId="009FD75C" w:rsidR="00C33CEB" w:rsidRPr="002B71B1" w:rsidRDefault="00E24D8C" w:rsidP="00475ED8">
      <w:pPr>
        <w:numPr>
          <w:ilvl w:val="0"/>
          <w:numId w:val="27"/>
        </w:numPr>
        <w:rPr>
          <w:rFonts w:cs="Arial"/>
        </w:rPr>
      </w:pPr>
      <w:r>
        <w:rPr>
          <w:rFonts w:cs="Arial"/>
          <w:snapToGrid w:val="0"/>
        </w:rPr>
        <w:lastRenderedPageBreak/>
        <w:t xml:space="preserve"> </w:t>
      </w:r>
      <w:r w:rsidR="00475ED8" w:rsidRPr="00475ED8">
        <w:rPr>
          <w:rFonts w:cs="Arial"/>
          <w:strike/>
          <w:snapToGrid w:val="0"/>
        </w:rPr>
        <w:t>4.</w:t>
      </w:r>
      <w:r w:rsidR="00C33CEB" w:rsidRPr="002B71B1">
        <w:rPr>
          <w:rFonts w:cs="Arial"/>
        </w:rPr>
        <w:t>General lighting luminaires in areas such as outdoor parking, sales or storage lots shall meet these reduced ratings. Decorative luminaires located in these areas shall meet U-value limits for “all other outdoor lighting.”</w:t>
      </w:r>
    </w:p>
    <w:p w14:paraId="0FFEA702" w14:textId="77777777" w:rsidR="00C33CEB" w:rsidRPr="002B71B1" w:rsidRDefault="00C33CEB" w:rsidP="00C33CEB">
      <w:pPr>
        <w:ind w:left="450"/>
        <w:rPr>
          <w:rFonts w:cs="Arial"/>
        </w:rPr>
      </w:pPr>
    </w:p>
    <w:p w14:paraId="3759A73B" w14:textId="4C1927E1" w:rsidR="00444A2F" w:rsidRPr="002B71B1" w:rsidRDefault="00C33CEB" w:rsidP="00A60C4E">
      <w:pPr>
        <w:ind w:left="450"/>
        <w:rPr>
          <w:rFonts w:cs="Arial"/>
          <w:u w:val="single"/>
        </w:rPr>
      </w:pPr>
      <w:r w:rsidRPr="002B71B1">
        <w:rPr>
          <w:rFonts w:cs="Arial"/>
          <w:strike/>
        </w:rPr>
        <w:t>5.</w:t>
      </w:r>
      <w:r w:rsidRPr="002B71B1">
        <w:rPr>
          <w:rFonts w:cs="Arial"/>
          <w:strike/>
        </w:rPr>
        <w:tab/>
        <w:t>If the nearest property line is less than or equal to two mounting heights from the front hemisphere of the luminaire distribution, the applicable reduced Glare rating shall be met.</w:t>
      </w:r>
      <w:r w:rsidR="005167C8">
        <w:rPr>
          <w:rFonts w:cs="Arial"/>
          <w:strike/>
        </w:rPr>
        <w:t xml:space="preserve"> </w:t>
      </w:r>
    </w:p>
    <w:p w14:paraId="0571626C" w14:textId="77777777" w:rsidR="00C33CEB" w:rsidRPr="005167C8" w:rsidRDefault="00C33CEB" w:rsidP="007A74E0">
      <w:pPr>
        <w:rPr>
          <w:rFonts w:cs="Arial"/>
          <w:u w:val="single"/>
        </w:rPr>
      </w:pPr>
    </w:p>
    <w:sectPr w:rsidR="00C33CEB" w:rsidRPr="005167C8" w:rsidSect="00CC176B">
      <w:headerReference w:type="default" r:id="rId8"/>
      <w:footerReference w:type="default" r:id="rId9"/>
      <w:pgSz w:w="12240" w:h="15840" w:code="1"/>
      <w:pgMar w:top="72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673823" w14:textId="77777777" w:rsidR="00CC6000" w:rsidRDefault="00CC6000">
      <w:r>
        <w:separator/>
      </w:r>
    </w:p>
  </w:endnote>
  <w:endnote w:type="continuationSeparator" w:id="0">
    <w:p w14:paraId="2BBBBCD8" w14:textId="77777777" w:rsidR="00CC6000" w:rsidRDefault="00CC6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67210754"/>
      <w:docPartObj>
        <w:docPartGallery w:val="Page Numbers (Bottom of Page)"/>
        <w:docPartUnique/>
      </w:docPartObj>
    </w:sdtPr>
    <w:sdtEndPr>
      <w:rPr>
        <w:noProof/>
      </w:rPr>
    </w:sdtEndPr>
    <w:sdtContent>
      <w:p w14:paraId="6F2F27E3" w14:textId="77777777" w:rsidR="002B71B1" w:rsidRDefault="002B71B1">
        <w:pPr>
          <w:pStyle w:val="Footer"/>
          <w:jc w:val="center"/>
        </w:pPr>
        <w:r>
          <w:fldChar w:fldCharType="begin"/>
        </w:r>
        <w:r>
          <w:instrText xml:space="preserve"> PAGE   \* MERGEFORMAT </w:instrText>
        </w:r>
        <w:r>
          <w:fldChar w:fldCharType="separate"/>
        </w:r>
        <w:r w:rsidR="005167C8">
          <w:rPr>
            <w:noProof/>
          </w:rPr>
          <w:t>2</w:t>
        </w:r>
        <w:r>
          <w:rPr>
            <w:noProof/>
          </w:rPr>
          <w:fldChar w:fldCharType="end"/>
        </w:r>
      </w:p>
    </w:sdtContent>
  </w:sdt>
  <w:p w14:paraId="7F1A23AD" w14:textId="77777777" w:rsidR="008541E4" w:rsidRPr="00F750AA" w:rsidRDefault="008541E4" w:rsidP="00B50682">
    <w:pPr>
      <w:pStyle w:val="Footer"/>
      <w:tabs>
        <w:tab w:val="left" w:pos="6930"/>
      </w:tabs>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D9707F" w14:textId="77777777" w:rsidR="00CC6000" w:rsidRDefault="00CC6000">
      <w:r>
        <w:separator/>
      </w:r>
    </w:p>
  </w:footnote>
  <w:footnote w:type="continuationSeparator" w:id="0">
    <w:p w14:paraId="659E6998" w14:textId="77777777" w:rsidR="00CC6000" w:rsidRDefault="00CC6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313194" w14:textId="77777777" w:rsidR="00783E9E" w:rsidRDefault="00783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31BE"/>
    <w:multiLevelType w:val="hybridMultilevel"/>
    <w:tmpl w:val="CDC80BE6"/>
    <w:lvl w:ilvl="0" w:tplc="CD6C3040">
      <w:start w:val="5"/>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24E2BDD"/>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5177D08"/>
    <w:multiLevelType w:val="hybridMultilevel"/>
    <w:tmpl w:val="9208B98E"/>
    <w:lvl w:ilvl="0" w:tplc="ED764EBE">
      <w:start w:val="1"/>
      <w:numFmt w:val="decimal"/>
      <w:lvlText w:val="%1."/>
      <w:lvlJc w:val="left"/>
      <w:pPr>
        <w:ind w:left="720" w:hanging="360"/>
      </w:pPr>
      <w:rPr>
        <w:rFonts w:hint="default"/>
        <w:b w:val="0"/>
        <w:w w:val="110"/>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93C512"/>
    <w:multiLevelType w:val="multilevel"/>
    <w:tmpl w:val="ED32408E"/>
    <w:lvl w:ilvl="0">
      <w:start w:val="1"/>
      <w:numFmt w:val="decimal"/>
      <w:lvlText w:val="%1."/>
      <w:lvlJc w:val="left"/>
      <w:pPr>
        <w:tabs>
          <w:tab w:val="num" w:pos="144"/>
        </w:tabs>
        <w:ind w:left="216" w:hanging="144"/>
      </w:pPr>
      <w:rPr>
        <w:rFonts w:cs="Times New Roman"/>
        <w:b w:val="0"/>
        <w:i w:val="0"/>
        <w:snapToGrid/>
        <w:spacing w:val="1"/>
        <w:sz w:val="18"/>
        <w:szCs w:val="18"/>
      </w:rPr>
    </w:lvl>
    <w:lvl w:ilvl="1">
      <w:start w:val="303"/>
      <w:numFmt w:val="decimal"/>
      <w:isLgl/>
      <w:lvlText w:val="%1.%2"/>
      <w:lvlJc w:val="left"/>
      <w:pPr>
        <w:ind w:left="972" w:hanging="900"/>
      </w:pPr>
      <w:rPr>
        <w:rFonts w:hint="default"/>
      </w:rPr>
    </w:lvl>
    <w:lvl w:ilvl="2">
      <w:start w:val="3"/>
      <w:numFmt w:val="decimal"/>
      <w:isLgl/>
      <w:lvlText w:val="%1.%2.%3"/>
      <w:lvlJc w:val="left"/>
      <w:pPr>
        <w:ind w:left="972" w:hanging="900"/>
      </w:pPr>
      <w:rPr>
        <w:rFonts w:hint="default"/>
      </w:rPr>
    </w:lvl>
    <w:lvl w:ilvl="3">
      <w:start w:val="4"/>
      <w:numFmt w:val="decimal"/>
      <w:isLgl/>
      <w:lvlText w:val="%1.%2.%3.%4"/>
      <w:lvlJc w:val="left"/>
      <w:pPr>
        <w:ind w:left="972" w:hanging="900"/>
      </w:pPr>
      <w:rPr>
        <w:rFonts w:hint="default"/>
      </w:rPr>
    </w:lvl>
    <w:lvl w:ilvl="4">
      <w:start w:val="1"/>
      <w:numFmt w:val="decimal"/>
      <w:isLgl/>
      <w:lvlText w:val="%1.%2.%3.%4.%5"/>
      <w:lvlJc w:val="left"/>
      <w:pPr>
        <w:ind w:left="1152" w:hanging="1080"/>
      </w:pPr>
      <w:rPr>
        <w:rFonts w:hint="default"/>
      </w:rPr>
    </w:lvl>
    <w:lvl w:ilvl="5">
      <w:start w:val="1"/>
      <w:numFmt w:val="decimal"/>
      <w:isLgl/>
      <w:lvlText w:val="%1.%2.%3.%4.%5.%6"/>
      <w:lvlJc w:val="left"/>
      <w:pPr>
        <w:ind w:left="1152" w:hanging="1080"/>
      </w:pPr>
      <w:rPr>
        <w:rFonts w:hint="default"/>
      </w:rPr>
    </w:lvl>
    <w:lvl w:ilvl="6">
      <w:start w:val="1"/>
      <w:numFmt w:val="decimal"/>
      <w:isLgl/>
      <w:lvlText w:val="%1.%2.%3.%4.%5.%6.%7"/>
      <w:lvlJc w:val="left"/>
      <w:pPr>
        <w:ind w:left="1512" w:hanging="1440"/>
      </w:pPr>
      <w:rPr>
        <w:rFonts w:hint="default"/>
      </w:rPr>
    </w:lvl>
    <w:lvl w:ilvl="7">
      <w:start w:val="1"/>
      <w:numFmt w:val="decimal"/>
      <w:isLgl/>
      <w:lvlText w:val="%1.%2.%3.%4.%5.%6.%7.%8"/>
      <w:lvlJc w:val="left"/>
      <w:pPr>
        <w:ind w:left="1512" w:hanging="1440"/>
      </w:pPr>
      <w:rPr>
        <w:rFonts w:hint="default"/>
      </w:rPr>
    </w:lvl>
    <w:lvl w:ilvl="8">
      <w:start w:val="1"/>
      <w:numFmt w:val="decimal"/>
      <w:isLgl/>
      <w:lvlText w:val="%1.%2.%3.%4.%5.%6.%7.%8.%9"/>
      <w:lvlJc w:val="left"/>
      <w:pPr>
        <w:ind w:left="1872" w:hanging="1800"/>
      </w:pPr>
      <w:rPr>
        <w:rFonts w:hint="default"/>
      </w:rPr>
    </w:lvl>
  </w:abstractNum>
  <w:abstractNum w:abstractNumId="4" w15:restartNumberingAfterBreak="0">
    <w:nsid w:val="05FB11E4"/>
    <w:multiLevelType w:val="hybridMultilevel"/>
    <w:tmpl w:val="0C0452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6EB5825"/>
    <w:multiLevelType w:val="singleLevel"/>
    <w:tmpl w:val="3664F0B3"/>
    <w:lvl w:ilvl="0">
      <w:start w:val="1"/>
      <w:numFmt w:val="decimal"/>
      <w:lvlText w:val="%1."/>
      <w:lvlJc w:val="left"/>
      <w:pPr>
        <w:tabs>
          <w:tab w:val="num" w:pos="216"/>
        </w:tabs>
        <w:ind w:left="504" w:hanging="216"/>
      </w:pPr>
      <w:rPr>
        <w:rFonts w:cs="Times New Roman"/>
        <w:snapToGrid/>
        <w:spacing w:val="-5"/>
        <w:sz w:val="20"/>
        <w:szCs w:val="20"/>
      </w:rPr>
    </w:lvl>
  </w:abstractNum>
  <w:abstractNum w:abstractNumId="6" w15:restartNumberingAfterBreak="0">
    <w:nsid w:val="07B7189C"/>
    <w:multiLevelType w:val="hybridMultilevel"/>
    <w:tmpl w:val="158289BE"/>
    <w:lvl w:ilvl="0" w:tplc="DAE05E4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 w15:restartNumberingAfterBreak="0">
    <w:nsid w:val="0FF72809"/>
    <w:multiLevelType w:val="hybridMultilevel"/>
    <w:tmpl w:val="7720A826"/>
    <w:lvl w:ilvl="0" w:tplc="448AC9F8">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09D0683"/>
    <w:multiLevelType w:val="hybridMultilevel"/>
    <w:tmpl w:val="5F6C326E"/>
    <w:lvl w:ilvl="0" w:tplc="1278F902">
      <w:start w:val="1"/>
      <w:numFmt w:val="decimal"/>
      <w:lvlText w:val="%1."/>
      <w:lvlJc w:val="left"/>
      <w:pPr>
        <w:ind w:left="1080" w:hanging="360"/>
      </w:pPr>
      <w:rPr>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2550D1F"/>
    <w:multiLevelType w:val="hybridMultilevel"/>
    <w:tmpl w:val="3FF4DCFC"/>
    <w:lvl w:ilvl="0" w:tplc="0409000F">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0" w15:restartNumberingAfterBreak="0">
    <w:nsid w:val="12991F33"/>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100372E"/>
    <w:multiLevelType w:val="hybridMultilevel"/>
    <w:tmpl w:val="1C6485BC"/>
    <w:lvl w:ilvl="0" w:tplc="8E2A63C6">
      <w:start w:val="1"/>
      <w:numFmt w:val="decimal"/>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12" w15:restartNumberingAfterBreak="0">
    <w:nsid w:val="28AC18BE"/>
    <w:multiLevelType w:val="hybridMultilevel"/>
    <w:tmpl w:val="C8A28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8AE55DF"/>
    <w:multiLevelType w:val="hybridMultilevel"/>
    <w:tmpl w:val="0B1437BA"/>
    <w:lvl w:ilvl="0" w:tplc="56626630">
      <w:start w:val="1"/>
      <w:numFmt w:val="decimal"/>
      <w:lvlText w:val="%1."/>
      <w:lvlJc w:val="left"/>
      <w:pPr>
        <w:ind w:left="1080" w:hanging="360"/>
      </w:pPr>
      <w:rPr>
        <w:rFonts w:hint="default"/>
        <w:color w:val="000000"/>
        <w:sz w:val="18"/>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D6B1781"/>
    <w:multiLevelType w:val="hybridMultilevel"/>
    <w:tmpl w:val="594AC7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C93A14"/>
    <w:multiLevelType w:val="hybridMultilevel"/>
    <w:tmpl w:val="0618381A"/>
    <w:lvl w:ilvl="0" w:tplc="C58E71B0">
      <w:start w:val="1"/>
      <w:numFmt w:val="decimal"/>
      <w:lvlText w:val="%1."/>
      <w:lvlJc w:val="left"/>
      <w:pPr>
        <w:ind w:left="1080" w:hanging="360"/>
      </w:pPr>
      <w:rPr>
        <w:rFonts w:hint="default"/>
        <w:color w:val="000000"/>
        <w:sz w:val="18"/>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FFB7C4C"/>
    <w:multiLevelType w:val="hybridMultilevel"/>
    <w:tmpl w:val="92703A72"/>
    <w:lvl w:ilvl="0" w:tplc="938A78FA">
      <w:start w:val="1"/>
      <w:numFmt w:val="decimal"/>
      <w:lvlText w:val="%1."/>
      <w:lvlJc w:val="left"/>
      <w:pPr>
        <w:tabs>
          <w:tab w:val="num" w:pos="810"/>
        </w:tabs>
        <w:ind w:left="810" w:hanging="360"/>
      </w:pPr>
      <w:rPr>
        <w:rFonts w:cs="Times New Roman" w:hint="default"/>
        <w:color w:val="auto"/>
        <w:sz w:val="22"/>
        <w:szCs w:val="22"/>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8457F4C"/>
    <w:multiLevelType w:val="singleLevel"/>
    <w:tmpl w:val="3664F0B3"/>
    <w:lvl w:ilvl="0">
      <w:start w:val="1"/>
      <w:numFmt w:val="decimal"/>
      <w:lvlText w:val="%1."/>
      <w:lvlJc w:val="left"/>
      <w:pPr>
        <w:tabs>
          <w:tab w:val="num" w:pos="216"/>
        </w:tabs>
        <w:ind w:left="504" w:hanging="216"/>
      </w:pPr>
      <w:rPr>
        <w:rFonts w:cs="Times New Roman"/>
        <w:snapToGrid/>
        <w:spacing w:val="-5"/>
        <w:sz w:val="20"/>
        <w:szCs w:val="20"/>
      </w:rPr>
    </w:lvl>
  </w:abstractNum>
  <w:abstractNum w:abstractNumId="18" w15:restartNumberingAfterBreak="0">
    <w:nsid w:val="3A41135D"/>
    <w:multiLevelType w:val="hybridMultilevel"/>
    <w:tmpl w:val="15F6F4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C2C3700"/>
    <w:multiLevelType w:val="hybridMultilevel"/>
    <w:tmpl w:val="68F06168"/>
    <w:lvl w:ilvl="0" w:tplc="DD580C5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FBF41E2"/>
    <w:multiLevelType w:val="hybridMultilevel"/>
    <w:tmpl w:val="20E688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E7025D"/>
    <w:multiLevelType w:val="hybridMultilevel"/>
    <w:tmpl w:val="F28CAA5E"/>
    <w:lvl w:ilvl="0" w:tplc="5BEE502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2" w15:restartNumberingAfterBreak="0">
    <w:nsid w:val="4E1B393E"/>
    <w:multiLevelType w:val="hybridMultilevel"/>
    <w:tmpl w:val="62E2D4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13A76E2"/>
    <w:multiLevelType w:val="hybridMultilevel"/>
    <w:tmpl w:val="155E26F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3D30961"/>
    <w:multiLevelType w:val="hybridMultilevel"/>
    <w:tmpl w:val="C4B0220E"/>
    <w:lvl w:ilvl="0" w:tplc="D2581974">
      <w:start w:val="1"/>
      <w:numFmt w:val="decimal"/>
      <w:lvlText w:val="%1."/>
      <w:lvlJc w:val="left"/>
      <w:pPr>
        <w:ind w:left="360" w:hanging="360"/>
      </w:pPr>
      <w:rPr>
        <w:rFonts w:hint="default"/>
        <w:u w:val="singl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0782CF2"/>
    <w:multiLevelType w:val="hybridMultilevel"/>
    <w:tmpl w:val="5D003F70"/>
    <w:lvl w:ilvl="0" w:tplc="BA9EDBF6">
      <w:start w:val="1"/>
      <w:numFmt w:val="decimal"/>
      <w:lvlText w:val="%1."/>
      <w:lvlJc w:val="left"/>
      <w:pPr>
        <w:ind w:left="810" w:hanging="360"/>
      </w:pPr>
      <w:rPr>
        <w:rFonts w:hint="default"/>
        <w:b w:val="0"/>
        <w:i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6" w15:restartNumberingAfterBreak="0">
    <w:nsid w:val="62B33A3C"/>
    <w:multiLevelType w:val="hybridMultilevel"/>
    <w:tmpl w:val="4EC0977A"/>
    <w:lvl w:ilvl="0" w:tplc="CCF0B80E">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2DF4051"/>
    <w:multiLevelType w:val="hybridMultilevel"/>
    <w:tmpl w:val="EE9457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3D7AAD"/>
    <w:multiLevelType w:val="hybridMultilevel"/>
    <w:tmpl w:val="FD8EC768"/>
    <w:lvl w:ilvl="0" w:tplc="527E18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AAB7FE4"/>
    <w:multiLevelType w:val="hybridMultilevel"/>
    <w:tmpl w:val="0CDE0F48"/>
    <w:lvl w:ilvl="0" w:tplc="E3468E22">
      <w:start w:val="1"/>
      <w:numFmt w:val="decimal"/>
      <w:lvlText w:val="%1."/>
      <w:lvlJc w:val="left"/>
      <w:pPr>
        <w:tabs>
          <w:tab w:val="num" w:pos="720"/>
        </w:tabs>
        <w:ind w:left="720" w:hanging="360"/>
      </w:pPr>
      <w:rPr>
        <w:rFonts w:hint="default"/>
        <w:b/>
      </w:rPr>
    </w:lvl>
    <w:lvl w:ilvl="1" w:tplc="2A30F152">
      <w:start w:val="1"/>
      <w:numFmt w:val="lowerLetter"/>
      <w:lvlText w:val="%2."/>
      <w:lvlJc w:val="left"/>
      <w:pPr>
        <w:tabs>
          <w:tab w:val="num" w:pos="1440"/>
        </w:tabs>
        <w:ind w:left="1440" w:hanging="360"/>
      </w:pPr>
      <w:rPr>
        <w:rFonts w:hint="default"/>
        <w:b/>
      </w:rPr>
    </w:lvl>
    <w:lvl w:ilvl="2" w:tplc="FEE0971A">
      <w:start w:val="1"/>
      <w:numFmt w:val="upperLetter"/>
      <w:lvlText w:val="%3&gt;"/>
      <w:lvlJc w:val="left"/>
      <w:pPr>
        <w:tabs>
          <w:tab w:val="num" w:pos="2340"/>
        </w:tabs>
        <w:ind w:left="2340" w:hanging="360"/>
      </w:pPr>
      <w:rPr>
        <w:rFonts w:hint="default"/>
        <w:b/>
      </w:rPr>
    </w:lvl>
    <w:lvl w:ilvl="3" w:tplc="DAE87DE8">
      <w:start w:val="1"/>
      <w:numFmt w:val="upperLetter"/>
      <w:lvlText w:val="%4."/>
      <w:lvlJc w:val="left"/>
      <w:pPr>
        <w:tabs>
          <w:tab w:val="num" w:pos="2880"/>
        </w:tabs>
        <w:ind w:left="2880" w:hanging="360"/>
      </w:pPr>
      <w:rPr>
        <w:rFonts w:hint="default"/>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F8553C"/>
    <w:multiLevelType w:val="hybridMultilevel"/>
    <w:tmpl w:val="8FD08DEC"/>
    <w:lvl w:ilvl="0" w:tplc="022E1F16">
      <w:start w:val="5"/>
      <w:numFmt w:val="decimal"/>
      <w:lvlText w:val="%1"/>
      <w:lvlJc w:val="left"/>
      <w:pPr>
        <w:ind w:left="1080" w:hanging="360"/>
      </w:pPr>
      <w:rPr>
        <w:rFonts w:hint="default"/>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43E413C"/>
    <w:multiLevelType w:val="hybridMultilevel"/>
    <w:tmpl w:val="81725C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5895D97"/>
    <w:multiLevelType w:val="hybridMultilevel"/>
    <w:tmpl w:val="BEC2A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A5150D9"/>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33"/>
  </w:num>
  <w:num w:numId="2">
    <w:abstractNumId w:val="29"/>
  </w:num>
  <w:num w:numId="3">
    <w:abstractNumId w:val="20"/>
  </w:num>
  <w:num w:numId="4">
    <w:abstractNumId w:val="4"/>
  </w:num>
  <w:num w:numId="5">
    <w:abstractNumId w:val="31"/>
  </w:num>
  <w:num w:numId="6">
    <w:abstractNumId w:val="16"/>
  </w:num>
  <w:num w:numId="7">
    <w:abstractNumId w:val="11"/>
  </w:num>
  <w:num w:numId="8">
    <w:abstractNumId w:val="18"/>
  </w:num>
  <w:num w:numId="9">
    <w:abstractNumId w:val="19"/>
  </w:num>
  <w:num w:numId="10">
    <w:abstractNumId w:val="24"/>
  </w:num>
  <w:num w:numId="11">
    <w:abstractNumId w:val="12"/>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13"/>
  </w:num>
  <w:num w:numId="15">
    <w:abstractNumId w:val="7"/>
  </w:num>
  <w:num w:numId="16">
    <w:abstractNumId w:val="14"/>
  </w:num>
  <w:num w:numId="17">
    <w:abstractNumId w:val="22"/>
  </w:num>
  <w:num w:numId="18">
    <w:abstractNumId w:val="27"/>
  </w:num>
  <w:num w:numId="19">
    <w:abstractNumId w:val="10"/>
  </w:num>
  <w:num w:numId="20">
    <w:abstractNumId w:val="15"/>
  </w:num>
  <w:num w:numId="21">
    <w:abstractNumId w:val="5"/>
  </w:num>
  <w:num w:numId="22">
    <w:abstractNumId w:val="3"/>
  </w:num>
  <w:num w:numId="23">
    <w:abstractNumId w:val="2"/>
  </w:num>
  <w:num w:numId="24">
    <w:abstractNumId w:val="17"/>
  </w:num>
  <w:num w:numId="25">
    <w:abstractNumId w:val="6"/>
  </w:num>
  <w:num w:numId="26">
    <w:abstractNumId w:val="9"/>
  </w:num>
  <w:num w:numId="27">
    <w:abstractNumId w:val="25"/>
  </w:num>
  <w:num w:numId="28">
    <w:abstractNumId w:val="8"/>
  </w:num>
  <w:num w:numId="29">
    <w:abstractNumId w:val="32"/>
  </w:num>
  <w:num w:numId="30">
    <w:abstractNumId w:val="23"/>
  </w:num>
  <w:num w:numId="31">
    <w:abstractNumId w:val="26"/>
  </w:num>
  <w:num w:numId="32">
    <w:abstractNumId w:val="30"/>
  </w:num>
  <w:num w:numId="33">
    <w:abstractNumId w:val="0"/>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6165"/>
    <w:rsid w:val="00003FA6"/>
    <w:rsid w:val="000062D7"/>
    <w:rsid w:val="00011620"/>
    <w:rsid w:val="00015928"/>
    <w:rsid w:val="000174B7"/>
    <w:rsid w:val="000217A5"/>
    <w:rsid w:val="000220CB"/>
    <w:rsid w:val="000253E9"/>
    <w:rsid w:val="00025D7A"/>
    <w:rsid w:val="000261E8"/>
    <w:rsid w:val="000312AF"/>
    <w:rsid w:val="000360D8"/>
    <w:rsid w:val="00041B7C"/>
    <w:rsid w:val="000430DD"/>
    <w:rsid w:val="000440C4"/>
    <w:rsid w:val="00050219"/>
    <w:rsid w:val="00050EF1"/>
    <w:rsid w:val="00052B7D"/>
    <w:rsid w:val="000531FB"/>
    <w:rsid w:val="00053572"/>
    <w:rsid w:val="00053D4B"/>
    <w:rsid w:val="00053FD6"/>
    <w:rsid w:val="00056399"/>
    <w:rsid w:val="00060C47"/>
    <w:rsid w:val="000714DD"/>
    <w:rsid w:val="00072D01"/>
    <w:rsid w:val="0007345A"/>
    <w:rsid w:val="00073689"/>
    <w:rsid w:val="0007497D"/>
    <w:rsid w:val="000751BD"/>
    <w:rsid w:val="00075656"/>
    <w:rsid w:val="0007683E"/>
    <w:rsid w:val="00080A3E"/>
    <w:rsid w:val="000820B6"/>
    <w:rsid w:val="00082479"/>
    <w:rsid w:val="00082D40"/>
    <w:rsid w:val="000903B9"/>
    <w:rsid w:val="0009320A"/>
    <w:rsid w:val="000943D3"/>
    <w:rsid w:val="00094742"/>
    <w:rsid w:val="00095A8D"/>
    <w:rsid w:val="00097179"/>
    <w:rsid w:val="000976AF"/>
    <w:rsid w:val="000A0149"/>
    <w:rsid w:val="000B2960"/>
    <w:rsid w:val="000B3368"/>
    <w:rsid w:val="000B490D"/>
    <w:rsid w:val="000B57C9"/>
    <w:rsid w:val="000B69B9"/>
    <w:rsid w:val="000C08B3"/>
    <w:rsid w:val="000C5A23"/>
    <w:rsid w:val="000C5CFB"/>
    <w:rsid w:val="000C71D8"/>
    <w:rsid w:val="000D1B36"/>
    <w:rsid w:val="000D2661"/>
    <w:rsid w:val="000D34C0"/>
    <w:rsid w:val="000D3EEA"/>
    <w:rsid w:val="000D4AEE"/>
    <w:rsid w:val="000D5111"/>
    <w:rsid w:val="000D5D8D"/>
    <w:rsid w:val="000E1303"/>
    <w:rsid w:val="000E5B8C"/>
    <w:rsid w:val="000E5F3B"/>
    <w:rsid w:val="000E66F2"/>
    <w:rsid w:val="000E6739"/>
    <w:rsid w:val="000E7C2F"/>
    <w:rsid w:val="000F3548"/>
    <w:rsid w:val="000F3C16"/>
    <w:rsid w:val="000F456D"/>
    <w:rsid w:val="000F4651"/>
    <w:rsid w:val="000F5401"/>
    <w:rsid w:val="000F6D55"/>
    <w:rsid w:val="00100671"/>
    <w:rsid w:val="0010124C"/>
    <w:rsid w:val="00101E10"/>
    <w:rsid w:val="001023CD"/>
    <w:rsid w:val="0010358D"/>
    <w:rsid w:val="00104B46"/>
    <w:rsid w:val="0010742F"/>
    <w:rsid w:val="0011087B"/>
    <w:rsid w:val="0011246A"/>
    <w:rsid w:val="00112713"/>
    <w:rsid w:val="00112F38"/>
    <w:rsid w:val="001137D8"/>
    <w:rsid w:val="00115C8B"/>
    <w:rsid w:val="00116018"/>
    <w:rsid w:val="00116330"/>
    <w:rsid w:val="00117F21"/>
    <w:rsid w:val="0012057C"/>
    <w:rsid w:val="00122A12"/>
    <w:rsid w:val="00125E83"/>
    <w:rsid w:val="0012665A"/>
    <w:rsid w:val="00127747"/>
    <w:rsid w:val="00130466"/>
    <w:rsid w:val="00130E52"/>
    <w:rsid w:val="00131AEF"/>
    <w:rsid w:val="00131AF6"/>
    <w:rsid w:val="00135237"/>
    <w:rsid w:val="00135C0C"/>
    <w:rsid w:val="00135ED9"/>
    <w:rsid w:val="0013685A"/>
    <w:rsid w:val="0014512B"/>
    <w:rsid w:val="001541DE"/>
    <w:rsid w:val="0015575A"/>
    <w:rsid w:val="0015724F"/>
    <w:rsid w:val="0015732D"/>
    <w:rsid w:val="001578B4"/>
    <w:rsid w:val="00160B49"/>
    <w:rsid w:val="0016232B"/>
    <w:rsid w:val="0016250E"/>
    <w:rsid w:val="00163BB8"/>
    <w:rsid w:val="00163CA3"/>
    <w:rsid w:val="00166294"/>
    <w:rsid w:val="00167058"/>
    <w:rsid w:val="001713D0"/>
    <w:rsid w:val="00171B37"/>
    <w:rsid w:val="00171CFC"/>
    <w:rsid w:val="0017213B"/>
    <w:rsid w:val="001731BC"/>
    <w:rsid w:val="00180B18"/>
    <w:rsid w:val="00184774"/>
    <w:rsid w:val="00191E4B"/>
    <w:rsid w:val="00192142"/>
    <w:rsid w:val="00195BC9"/>
    <w:rsid w:val="00196D35"/>
    <w:rsid w:val="00197ED9"/>
    <w:rsid w:val="001A0CA9"/>
    <w:rsid w:val="001A292E"/>
    <w:rsid w:val="001A2DB0"/>
    <w:rsid w:val="001A33B4"/>
    <w:rsid w:val="001A3E53"/>
    <w:rsid w:val="001A5C27"/>
    <w:rsid w:val="001B5934"/>
    <w:rsid w:val="001B697E"/>
    <w:rsid w:val="001B700B"/>
    <w:rsid w:val="001C16C6"/>
    <w:rsid w:val="001C230A"/>
    <w:rsid w:val="001C47BC"/>
    <w:rsid w:val="001C7201"/>
    <w:rsid w:val="001D06DE"/>
    <w:rsid w:val="001D06E3"/>
    <w:rsid w:val="001D0C6B"/>
    <w:rsid w:val="001D630D"/>
    <w:rsid w:val="001E130F"/>
    <w:rsid w:val="001E1C68"/>
    <w:rsid w:val="001E588F"/>
    <w:rsid w:val="001E6160"/>
    <w:rsid w:val="001E6EE7"/>
    <w:rsid w:val="001F3036"/>
    <w:rsid w:val="00200C69"/>
    <w:rsid w:val="00200D05"/>
    <w:rsid w:val="002024C3"/>
    <w:rsid w:val="002030E0"/>
    <w:rsid w:val="002035D1"/>
    <w:rsid w:val="00203627"/>
    <w:rsid w:val="002042F4"/>
    <w:rsid w:val="00210734"/>
    <w:rsid w:val="00210B51"/>
    <w:rsid w:val="00210DED"/>
    <w:rsid w:val="002128CB"/>
    <w:rsid w:val="00212B3E"/>
    <w:rsid w:val="00213907"/>
    <w:rsid w:val="00214980"/>
    <w:rsid w:val="0021541D"/>
    <w:rsid w:val="002161E9"/>
    <w:rsid w:val="0021634E"/>
    <w:rsid w:val="002172E4"/>
    <w:rsid w:val="002173C0"/>
    <w:rsid w:val="0021757E"/>
    <w:rsid w:val="00217721"/>
    <w:rsid w:val="0022007F"/>
    <w:rsid w:val="002210B5"/>
    <w:rsid w:val="00221A54"/>
    <w:rsid w:val="002231F3"/>
    <w:rsid w:val="0022555B"/>
    <w:rsid w:val="00226522"/>
    <w:rsid w:val="002320B2"/>
    <w:rsid w:val="0023441D"/>
    <w:rsid w:val="00241A85"/>
    <w:rsid w:val="00241DAF"/>
    <w:rsid w:val="002434C5"/>
    <w:rsid w:val="00245849"/>
    <w:rsid w:val="002500AE"/>
    <w:rsid w:val="00250690"/>
    <w:rsid w:val="00250F84"/>
    <w:rsid w:val="0025253E"/>
    <w:rsid w:val="00254575"/>
    <w:rsid w:val="002551B5"/>
    <w:rsid w:val="00255A28"/>
    <w:rsid w:val="00255C24"/>
    <w:rsid w:val="0025682E"/>
    <w:rsid w:val="00265C59"/>
    <w:rsid w:val="0026670A"/>
    <w:rsid w:val="00266E07"/>
    <w:rsid w:val="002679E3"/>
    <w:rsid w:val="002708BF"/>
    <w:rsid w:val="00270C33"/>
    <w:rsid w:val="00270C62"/>
    <w:rsid w:val="00271FFE"/>
    <w:rsid w:val="002724CB"/>
    <w:rsid w:val="00272C28"/>
    <w:rsid w:val="002744C2"/>
    <w:rsid w:val="00276AC1"/>
    <w:rsid w:val="0027706D"/>
    <w:rsid w:val="00280DFE"/>
    <w:rsid w:val="00284047"/>
    <w:rsid w:val="0028550A"/>
    <w:rsid w:val="002871A0"/>
    <w:rsid w:val="002874D0"/>
    <w:rsid w:val="002902C2"/>
    <w:rsid w:val="00290947"/>
    <w:rsid w:val="00293304"/>
    <w:rsid w:val="00293507"/>
    <w:rsid w:val="00295D32"/>
    <w:rsid w:val="0029659E"/>
    <w:rsid w:val="00296B3C"/>
    <w:rsid w:val="002A04FA"/>
    <w:rsid w:val="002A5C37"/>
    <w:rsid w:val="002B0D7B"/>
    <w:rsid w:val="002B2317"/>
    <w:rsid w:val="002B4A71"/>
    <w:rsid w:val="002B5DFA"/>
    <w:rsid w:val="002B613C"/>
    <w:rsid w:val="002B71B1"/>
    <w:rsid w:val="002B7E03"/>
    <w:rsid w:val="002C0A1A"/>
    <w:rsid w:val="002C2F78"/>
    <w:rsid w:val="002C6AE3"/>
    <w:rsid w:val="002C73B7"/>
    <w:rsid w:val="002C7D5D"/>
    <w:rsid w:val="002D0B08"/>
    <w:rsid w:val="002D22A4"/>
    <w:rsid w:val="002D3652"/>
    <w:rsid w:val="002D4DBA"/>
    <w:rsid w:val="002D609E"/>
    <w:rsid w:val="002E2D9D"/>
    <w:rsid w:val="002E67DB"/>
    <w:rsid w:val="002F0DEE"/>
    <w:rsid w:val="002F1370"/>
    <w:rsid w:val="002F1475"/>
    <w:rsid w:val="002F348B"/>
    <w:rsid w:val="002F4381"/>
    <w:rsid w:val="002F59E5"/>
    <w:rsid w:val="003007D5"/>
    <w:rsid w:val="0030222B"/>
    <w:rsid w:val="00303AD3"/>
    <w:rsid w:val="003044C7"/>
    <w:rsid w:val="003047F2"/>
    <w:rsid w:val="0031331C"/>
    <w:rsid w:val="00313936"/>
    <w:rsid w:val="003155D4"/>
    <w:rsid w:val="00317371"/>
    <w:rsid w:val="00320615"/>
    <w:rsid w:val="003259FA"/>
    <w:rsid w:val="00330CB8"/>
    <w:rsid w:val="00330D46"/>
    <w:rsid w:val="00331199"/>
    <w:rsid w:val="00333A53"/>
    <w:rsid w:val="003350E6"/>
    <w:rsid w:val="00337B03"/>
    <w:rsid w:val="00342746"/>
    <w:rsid w:val="00343D1A"/>
    <w:rsid w:val="0034573B"/>
    <w:rsid w:val="00346F24"/>
    <w:rsid w:val="00350C51"/>
    <w:rsid w:val="00354856"/>
    <w:rsid w:val="00354B73"/>
    <w:rsid w:val="00355822"/>
    <w:rsid w:val="00363C19"/>
    <w:rsid w:val="0036486C"/>
    <w:rsid w:val="00364F53"/>
    <w:rsid w:val="003656CD"/>
    <w:rsid w:val="00366633"/>
    <w:rsid w:val="003676FA"/>
    <w:rsid w:val="00367942"/>
    <w:rsid w:val="00367C85"/>
    <w:rsid w:val="00367EB3"/>
    <w:rsid w:val="00372B04"/>
    <w:rsid w:val="00373D53"/>
    <w:rsid w:val="00375D61"/>
    <w:rsid w:val="00375EA6"/>
    <w:rsid w:val="0037766A"/>
    <w:rsid w:val="003808ED"/>
    <w:rsid w:val="00382111"/>
    <w:rsid w:val="003826F2"/>
    <w:rsid w:val="00385F8E"/>
    <w:rsid w:val="00394E10"/>
    <w:rsid w:val="003958B2"/>
    <w:rsid w:val="003967A7"/>
    <w:rsid w:val="003A563A"/>
    <w:rsid w:val="003A67AA"/>
    <w:rsid w:val="003B0D04"/>
    <w:rsid w:val="003B12C6"/>
    <w:rsid w:val="003B4590"/>
    <w:rsid w:val="003B5D75"/>
    <w:rsid w:val="003C05DD"/>
    <w:rsid w:val="003C0760"/>
    <w:rsid w:val="003C14E3"/>
    <w:rsid w:val="003C22D8"/>
    <w:rsid w:val="003C245B"/>
    <w:rsid w:val="003C4FB7"/>
    <w:rsid w:val="003C691A"/>
    <w:rsid w:val="003D0E26"/>
    <w:rsid w:val="003D24F4"/>
    <w:rsid w:val="003D6411"/>
    <w:rsid w:val="003E19BA"/>
    <w:rsid w:val="003E221F"/>
    <w:rsid w:val="003E36A4"/>
    <w:rsid w:val="003E68AE"/>
    <w:rsid w:val="003F0352"/>
    <w:rsid w:val="003F1639"/>
    <w:rsid w:val="003F2BEA"/>
    <w:rsid w:val="003F37B8"/>
    <w:rsid w:val="003F3A01"/>
    <w:rsid w:val="003F3DA7"/>
    <w:rsid w:val="003F41C6"/>
    <w:rsid w:val="003F6FD8"/>
    <w:rsid w:val="0040016D"/>
    <w:rsid w:val="0040182E"/>
    <w:rsid w:val="00402B14"/>
    <w:rsid w:val="0040309E"/>
    <w:rsid w:val="00403E5B"/>
    <w:rsid w:val="00407134"/>
    <w:rsid w:val="00407C3A"/>
    <w:rsid w:val="00411169"/>
    <w:rsid w:val="00413C68"/>
    <w:rsid w:val="00414017"/>
    <w:rsid w:val="00414C72"/>
    <w:rsid w:val="0041552D"/>
    <w:rsid w:val="00415B4B"/>
    <w:rsid w:val="00416F74"/>
    <w:rsid w:val="0041712F"/>
    <w:rsid w:val="00421FF8"/>
    <w:rsid w:val="00424BE6"/>
    <w:rsid w:val="004278DD"/>
    <w:rsid w:val="00427D25"/>
    <w:rsid w:val="004356C4"/>
    <w:rsid w:val="00440061"/>
    <w:rsid w:val="0044389D"/>
    <w:rsid w:val="00444555"/>
    <w:rsid w:val="00444A2F"/>
    <w:rsid w:val="00445A67"/>
    <w:rsid w:val="00445C8E"/>
    <w:rsid w:val="0045196A"/>
    <w:rsid w:val="00453FE8"/>
    <w:rsid w:val="004549CA"/>
    <w:rsid w:val="00455338"/>
    <w:rsid w:val="00456326"/>
    <w:rsid w:val="00457C75"/>
    <w:rsid w:val="00460A18"/>
    <w:rsid w:val="00460DC5"/>
    <w:rsid w:val="00461C49"/>
    <w:rsid w:val="00465CBF"/>
    <w:rsid w:val="00470366"/>
    <w:rsid w:val="00470D7A"/>
    <w:rsid w:val="0047135D"/>
    <w:rsid w:val="00474071"/>
    <w:rsid w:val="00475B80"/>
    <w:rsid w:val="00475ED8"/>
    <w:rsid w:val="004761A9"/>
    <w:rsid w:val="00476AAB"/>
    <w:rsid w:val="00477FA7"/>
    <w:rsid w:val="004806C6"/>
    <w:rsid w:val="00480D42"/>
    <w:rsid w:val="00483759"/>
    <w:rsid w:val="00484106"/>
    <w:rsid w:val="00486909"/>
    <w:rsid w:val="00491636"/>
    <w:rsid w:val="004918EF"/>
    <w:rsid w:val="00493CCC"/>
    <w:rsid w:val="00494423"/>
    <w:rsid w:val="00494596"/>
    <w:rsid w:val="00495BE3"/>
    <w:rsid w:val="00496B15"/>
    <w:rsid w:val="00496D8A"/>
    <w:rsid w:val="004A272C"/>
    <w:rsid w:val="004A29FB"/>
    <w:rsid w:val="004A7AEB"/>
    <w:rsid w:val="004B593E"/>
    <w:rsid w:val="004B7803"/>
    <w:rsid w:val="004C292B"/>
    <w:rsid w:val="004C3A80"/>
    <w:rsid w:val="004C4D34"/>
    <w:rsid w:val="004C5FA7"/>
    <w:rsid w:val="004C65CE"/>
    <w:rsid w:val="004C6A61"/>
    <w:rsid w:val="004C6EC5"/>
    <w:rsid w:val="004C79DB"/>
    <w:rsid w:val="004D0B86"/>
    <w:rsid w:val="004D115D"/>
    <w:rsid w:val="004D1E68"/>
    <w:rsid w:val="004D1F92"/>
    <w:rsid w:val="004D48E0"/>
    <w:rsid w:val="004D4AFF"/>
    <w:rsid w:val="004D4F56"/>
    <w:rsid w:val="004E0189"/>
    <w:rsid w:val="004E01C6"/>
    <w:rsid w:val="004E03C9"/>
    <w:rsid w:val="004E0B8B"/>
    <w:rsid w:val="004E29E6"/>
    <w:rsid w:val="004E7EF2"/>
    <w:rsid w:val="004F00D1"/>
    <w:rsid w:val="004F0123"/>
    <w:rsid w:val="004F028A"/>
    <w:rsid w:val="004F0685"/>
    <w:rsid w:val="004F07BB"/>
    <w:rsid w:val="004F42D5"/>
    <w:rsid w:val="004F461B"/>
    <w:rsid w:val="004F4721"/>
    <w:rsid w:val="004F7AE7"/>
    <w:rsid w:val="005012C4"/>
    <w:rsid w:val="005073C6"/>
    <w:rsid w:val="005127BE"/>
    <w:rsid w:val="00512B3B"/>
    <w:rsid w:val="00514101"/>
    <w:rsid w:val="00516167"/>
    <w:rsid w:val="005167AD"/>
    <w:rsid w:val="005167C8"/>
    <w:rsid w:val="00520D62"/>
    <w:rsid w:val="0052196A"/>
    <w:rsid w:val="00521EF7"/>
    <w:rsid w:val="005252D0"/>
    <w:rsid w:val="00525A63"/>
    <w:rsid w:val="00531A00"/>
    <w:rsid w:val="005334D0"/>
    <w:rsid w:val="00543CD1"/>
    <w:rsid w:val="00547B4B"/>
    <w:rsid w:val="005504B6"/>
    <w:rsid w:val="00553BFC"/>
    <w:rsid w:val="00560C5F"/>
    <w:rsid w:val="005618D3"/>
    <w:rsid w:val="00567B55"/>
    <w:rsid w:val="0057116E"/>
    <w:rsid w:val="00571335"/>
    <w:rsid w:val="005749A2"/>
    <w:rsid w:val="00574EE8"/>
    <w:rsid w:val="005764ED"/>
    <w:rsid w:val="005804E7"/>
    <w:rsid w:val="005818FB"/>
    <w:rsid w:val="005844F7"/>
    <w:rsid w:val="00584818"/>
    <w:rsid w:val="005852FB"/>
    <w:rsid w:val="005919D8"/>
    <w:rsid w:val="00591C73"/>
    <w:rsid w:val="00591D41"/>
    <w:rsid w:val="005922C0"/>
    <w:rsid w:val="0059472F"/>
    <w:rsid w:val="00594F52"/>
    <w:rsid w:val="00596F53"/>
    <w:rsid w:val="00597A7F"/>
    <w:rsid w:val="005A3E32"/>
    <w:rsid w:val="005A5323"/>
    <w:rsid w:val="005A622E"/>
    <w:rsid w:val="005A6982"/>
    <w:rsid w:val="005A753D"/>
    <w:rsid w:val="005B0133"/>
    <w:rsid w:val="005B1D1D"/>
    <w:rsid w:val="005B25D3"/>
    <w:rsid w:val="005B4203"/>
    <w:rsid w:val="005B6044"/>
    <w:rsid w:val="005B6930"/>
    <w:rsid w:val="005B6D94"/>
    <w:rsid w:val="005B7823"/>
    <w:rsid w:val="005C1E65"/>
    <w:rsid w:val="005C2CDD"/>
    <w:rsid w:val="005D720E"/>
    <w:rsid w:val="005E19D9"/>
    <w:rsid w:val="005E33D3"/>
    <w:rsid w:val="005E3A9B"/>
    <w:rsid w:val="005E3E2E"/>
    <w:rsid w:val="005E4906"/>
    <w:rsid w:val="005E4DA0"/>
    <w:rsid w:val="005E77CA"/>
    <w:rsid w:val="005E78A8"/>
    <w:rsid w:val="005E7980"/>
    <w:rsid w:val="005F0A92"/>
    <w:rsid w:val="005F2E2E"/>
    <w:rsid w:val="005F3731"/>
    <w:rsid w:val="005F6BFD"/>
    <w:rsid w:val="00602267"/>
    <w:rsid w:val="00603198"/>
    <w:rsid w:val="006032F9"/>
    <w:rsid w:val="006035F5"/>
    <w:rsid w:val="006040EA"/>
    <w:rsid w:val="006055E6"/>
    <w:rsid w:val="006074E4"/>
    <w:rsid w:val="00607770"/>
    <w:rsid w:val="006116E7"/>
    <w:rsid w:val="00611B47"/>
    <w:rsid w:val="00621140"/>
    <w:rsid w:val="006213D1"/>
    <w:rsid w:val="00622A2D"/>
    <w:rsid w:val="00622F6F"/>
    <w:rsid w:val="00622F76"/>
    <w:rsid w:val="006268D1"/>
    <w:rsid w:val="00633F3A"/>
    <w:rsid w:val="006346EC"/>
    <w:rsid w:val="00637803"/>
    <w:rsid w:val="00640DF1"/>
    <w:rsid w:val="006410F0"/>
    <w:rsid w:val="00643203"/>
    <w:rsid w:val="006469C7"/>
    <w:rsid w:val="006474C2"/>
    <w:rsid w:val="00647EB9"/>
    <w:rsid w:val="0065122C"/>
    <w:rsid w:val="00653B20"/>
    <w:rsid w:val="00653D15"/>
    <w:rsid w:val="00654046"/>
    <w:rsid w:val="00655270"/>
    <w:rsid w:val="00655F61"/>
    <w:rsid w:val="00656AC0"/>
    <w:rsid w:val="006570B6"/>
    <w:rsid w:val="00663111"/>
    <w:rsid w:val="00663219"/>
    <w:rsid w:val="006648F9"/>
    <w:rsid w:val="00664C7D"/>
    <w:rsid w:val="00665E89"/>
    <w:rsid w:val="00672F21"/>
    <w:rsid w:val="006737C1"/>
    <w:rsid w:val="0067407F"/>
    <w:rsid w:val="00674ECA"/>
    <w:rsid w:val="00677474"/>
    <w:rsid w:val="0068015D"/>
    <w:rsid w:val="00680AEF"/>
    <w:rsid w:val="00682E72"/>
    <w:rsid w:val="00683928"/>
    <w:rsid w:val="0068674B"/>
    <w:rsid w:val="00686D19"/>
    <w:rsid w:val="006875DD"/>
    <w:rsid w:val="00693215"/>
    <w:rsid w:val="00693430"/>
    <w:rsid w:val="0069393C"/>
    <w:rsid w:val="0069506B"/>
    <w:rsid w:val="00697BE7"/>
    <w:rsid w:val="006A04D8"/>
    <w:rsid w:val="006A3752"/>
    <w:rsid w:val="006A7E3D"/>
    <w:rsid w:val="006B19E4"/>
    <w:rsid w:val="006B211B"/>
    <w:rsid w:val="006B26C3"/>
    <w:rsid w:val="006B3420"/>
    <w:rsid w:val="006B371D"/>
    <w:rsid w:val="006B57D4"/>
    <w:rsid w:val="006B60B1"/>
    <w:rsid w:val="006B61C6"/>
    <w:rsid w:val="006B775D"/>
    <w:rsid w:val="006C0D75"/>
    <w:rsid w:val="006C3562"/>
    <w:rsid w:val="006C439B"/>
    <w:rsid w:val="006C57EB"/>
    <w:rsid w:val="006D343D"/>
    <w:rsid w:val="006D4531"/>
    <w:rsid w:val="006D5ED3"/>
    <w:rsid w:val="006D6F5C"/>
    <w:rsid w:val="006E6182"/>
    <w:rsid w:val="006E7B53"/>
    <w:rsid w:val="006F06CF"/>
    <w:rsid w:val="006F2AF6"/>
    <w:rsid w:val="006F3C8D"/>
    <w:rsid w:val="006F4274"/>
    <w:rsid w:val="006F79DE"/>
    <w:rsid w:val="00705345"/>
    <w:rsid w:val="0070559E"/>
    <w:rsid w:val="00711017"/>
    <w:rsid w:val="007113E9"/>
    <w:rsid w:val="00711CDF"/>
    <w:rsid w:val="00713768"/>
    <w:rsid w:val="00714092"/>
    <w:rsid w:val="007152E1"/>
    <w:rsid w:val="00726B1F"/>
    <w:rsid w:val="00726C0B"/>
    <w:rsid w:val="0073049C"/>
    <w:rsid w:val="00730683"/>
    <w:rsid w:val="007310D6"/>
    <w:rsid w:val="0073155C"/>
    <w:rsid w:val="007336B6"/>
    <w:rsid w:val="00736165"/>
    <w:rsid w:val="00736F17"/>
    <w:rsid w:val="007376F9"/>
    <w:rsid w:val="00737F15"/>
    <w:rsid w:val="00742B7E"/>
    <w:rsid w:val="0074561A"/>
    <w:rsid w:val="007520F5"/>
    <w:rsid w:val="0075226C"/>
    <w:rsid w:val="007566C5"/>
    <w:rsid w:val="00756F17"/>
    <w:rsid w:val="00757063"/>
    <w:rsid w:val="0075720C"/>
    <w:rsid w:val="007607F1"/>
    <w:rsid w:val="00760BA3"/>
    <w:rsid w:val="00761E54"/>
    <w:rsid w:val="00763039"/>
    <w:rsid w:val="0076332A"/>
    <w:rsid w:val="0076626A"/>
    <w:rsid w:val="00772E80"/>
    <w:rsid w:val="007735E7"/>
    <w:rsid w:val="007772C2"/>
    <w:rsid w:val="007818F5"/>
    <w:rsid w:val="00783E9E"/>
    <w:rsid w:val="00786E15"/>
    <w:rsid w:val="007875E4"/>
    <w:rsid w:val="00787B39"/>
    <w:rsid w:val="00790869"/>
    <w:rsid w:val="007938B6"/>
    <w:rsid w:val="00793C39"/>
    <w:rsid w:val="00793C7E"/>
    <w:rsid w:val="00796ADA"/>
    <w:rsid w:val="007A160F"/>
    <w:rsid w:val="007A28BF"/>
    <w:rsid w:val="007A67DC"/>
    <w:rsid w:val="007A74E0"/>
    <w:rsid w:val="007B4569"/>
    <w:rsid w:val="007B5343"/>
    <w:rsid w:val="007B73B8"/>
    <w:rsid w:val="007C0C52"/>
    <w:rsid w:val="007C3DE3"/>
    <w:rsid w:val="007C4CD3"/>
    <w:rsid w:val="007C521A"/>
    <w:rsid w:val="007D33BC"/>
    <w:rsid w:val="007D3656"/>
    <w:rsid w:val="007D68EB"/>
    <w:rsid w:val="007D7402"/>
    <w:rsid w:val="007E0FD0"/>
    <w:rsid w:val="007E3DB6"/>
    <w:rsid w:val="007E3EF1"/>
    <w:rsid w:val="007E4F7B"/>
    <w:rsid w:val="007E6032"/>
    <w:rsid w:val="007E6744"/>
    <w:rsid w:val="007E726B"/>
    <w:rsid w:val="007F0001"/>
    <w:rsid w:val="007F0366"/>
    <w:rsid w:val="007F0AE3"/>
    <w:rsid w:val="007F40C6"/>
    <w:rsid w:val="007F6DE6"/>
    <w:rsid w:val="007F6F29"/>
    <w:rsid w:val="00800677"/>
    <w:rsid w:val="0080346F"/>
    <w:rsid w:val="00807711"/>
    <w:rsid w:val="00807F8E"/>
    <w:rsid w:val="00811DEF"/>
    <w:rsid w:val="00813EB7"/>
    <w:rsid w:val="0081484E"/>
    <w:rsid w:val="00815BF3"/>
    <w:rsid w:val="00815D33"/>
    <w:rsid w:val="008163C1"/>
    <w:rsid w:val="00820AC5"/>
    <w:rsid w:val="008210D9"/>
    <w:rsid w:val="00821C43"/>
    <w:rsid w:val="00822236"/>
    <w:rsid w:val="00824267"/>
    <w:rsid w:val="00824F90"/>
    <w:rsid w:val="008268B7"/>
    <w:rsid w:val="00834112"/>
    <w:rsid w:val="00834FFB"/>
    <w:rsid w:val="00835CCD"/>
    <w:rsid w:val="00837840"/>
    <w:rsid w:val="0084057E"/>
    <w:rsid w:val="00846552"/>
    <w:rsid w:val="00846D2A"/>
    <w:rsid w:val="008511E3"/>
    <w:rsid w:val="00852958"/>
    <w:rsid w:val="008541E4"/>
    <w:rsid w:val="00854528"/>
    <w:rsid w:val="00856975"/>
    <w:rsid w:val="00856AEF"/>
    <w:rsid w:val="00860DD2"/>
    <w:rsid w:val="0086273C"/>
    <w:rsid w:val="008655E9"/>
    <w:rsid w:val="00866425"/>
    <w:rsid w:val="008674D0"/>
    <w:rsid w:val="00873F10"/>
    <w:rsid w:val="00875F2A"/>
    <w:rsid w:val="008767CA"/>
    <w:rsid w:val="00877007"/>
    <w:rsid w:val="00877740"/>
    <w:rsid w:val="008803F9"/>
    <w:rsid w:val="008817AC"/>
    <w:rsid w:val="00881E55"/>
    <w:rsid w:val="008840AA"/>
    <w:rsid w:val="008908B0"/>
    <w:rsid w:val="00891F5C"/>
    <w:rsid w:val="00892498"/>
    <w:rsid w:val="00893409"/>
    <w:rsid w:val="00896439"/>
    <w:rsid w:val="008A06A6"/>
    <w:rsid w:val="008A1301"/>
    <w:rsid w:val="008A1415"/>
    <w:rsid w:val="008A2852"/>
    <w:rsid w:val="008A7977"/>
    <w:rsid w:val="008B2490"/>
    <w:rsid w:val="008B442F"/>
    <w:rsid w:val="008B4718"/>
    <w:rsid w:val="008B546C"/>
    <w:rsid w:val="008B579B"/>
    <w:rsid w:val="008B6FAD"/>
    <w:rsid w:val="008C0C3A"/>
    <w:rsid w:val="008C0E1F"/>
    <w:rsid w:val="008C16D4"/>
    <w:rsid w:val="008C1E45"/>
    <w:rsid w:val="008C3514"/>
    <w:rsid w:val="008C43B1"/>
    <w:rsid w:val="008C6A72"/>
    <w:rsid w:val="008C7B0C"/>
    <w:rsid w:val="008C7F0A"/>
    <w:rsid w:val="008D10E6"/>
    <w:rsid w:val="008D221B"/>
    <w:rsid w:val="008D32A3"/>
    <w:rsid w:val="008D4D74"/>
    <w:rsid w:val="008D54A3"/>
    <w:rsid w:val="008D6148"/>
    <w:rsid w:val="008D6461"/>
    <w:rsid w:val="008D7FEB"/>
    <w:rsid w:val="008E06AD"/>
    <w:rsid w:val="008E2E8E"/>
    <w:rsid w:val="008E70FF"/>
    <w:rsid w:val="008E7C2C"/>
    <w:rsid w:val="008F5D4D"/>
    <w:rsid w:val="008F6E83"/>
    <w:rsid w:val="00902536"/>
    <w:rsid w:val="00910270"/>
    <w:rsid w:val="00910C5D"/>
    <w:rsid w:val="009125EC"/>
    <w:rsid w:val="009150D5"/>
    <w:rsid w:val="00917F24"/>
    <w:rsid w:val="00921986"/>
    <w:rsid w:val="00922B9F"/>
    <w:rsid w:val="00922CCD"/>
    <w:rsid w:val="00923AE1"/>
    <w:rsid w:val="0092402F"/>
    <w:rsid w:val="00924084"/>
    <w:rsid w:val="00924723"/>
    <w:rsid w:val="00924CF6"/>
    <w:rsid w:val="0092526A"/>
    <w:rsid w:val="009257AF"/>
    <w:rsid w:val="00925D8E"/>
    <w:rsid w:val="00927470"/>
    <w:rsid w:val="00930646"/>
    <w:rsid w:val="00930E5D"/>
    <w:rsid w:val="00936514"/>
    <w:rsid w:val="00940A34"/>
    <w:rsid w:val="00940D1B"/>
    <w:rsid w:val="0094110E"/>
    <w:rsid w:val="0094126C"/>
    <w:rsid w:val="00941693"/>
    <w:rsid w:val="00941D72"/>
    <w:rsid w:val="00943EAD"/>
    <w:rsid w:val="009501A4"/>
    <w:rsid w:val="0095096D"/>
    <w:rsid w:val="00950D1D"/>
    <w:rsid w:val="00965096"/>
    <w:rsid w:val="00967441"/>
    <w:rsid w:val="00970114"/>
    <w:rsid w:val="009725BF"/>
    <w:rsid w:val="00972D4B"/>
    <w:rsid w:val="00973E25"/>
    <w:rsid w:val="0098030A"/>
    <w:rsid w:val="00981BD6"/>
    <w:rsid w:val="00981E19"/>
    <w:rsid w:val="00982950"/>
    <w:rsid w:val="00986E1D"/>
    <w:rsid w:val="00991241"/>
    <w:rsid w:val="00992229"/>
    <w:rsid w:val="009956F1"/>
    <w:rsid w:val="00996199"/>
    <w:rsid w:val="00996FB4"/>
    <w:rsid w:val="009A0E88"/>
    <w:rsid w:val="009A38BF"/>
    <w:rsid w:val="009B003C"/>
    <w:rsid w:val="009B0FAD"/>
    <w:rsid w:val="009B13A0"/>
    <w:rsid w:val="009B2CD1"/>
    <w:rsid w:val="009B4029"/>
    <w:rsid w:val="009B58B1"/>
    <w:rsid w:val="009B62DE"/>
    <w:rsid w:val="009C09F6"/>
    <w:rsid w:val="009C0F40"/>
    <w:rsid w:val="009C137D"/>
    <w:rsid w:val="009C2202"/>
    <w:rsid w:val="009C2706"/>
    <w:rsid w:val="009C3A79"/>
    <w:rsid w:val="009C3DE8"/>
    <w:rsid w:val="009C5C85"/>
    <w:rsid w:val="009D4CE0"/>
    <w:rsid w:val="009D6A09"/>
    <w:rsid w:val="009D7453"/>
    <w:rsid w:val="009D7813"/>
    <w:rsid w:val="009E1935"/>
    <w:rsid w:val="009E2541"/>
    <w:rsid w:val="009E277C"/>
    <w:rsid w:val="009E2CAE"/>
    <w:rsid w:val="009E56DF"/>
    <w:rsid w:val="009F1488"/>
    <w:rsid w:val="009F4505"/>
    <w:rsid w:val="00A00112"/>
    <w:rsid w:val="00A005F3"/>
    <w:rsid w:val="00A04D53"/>
    <w:rsid w:val="00A04ED4"/>
    <w:rsid w:val="00A05DF1"/>
    <w:rsid w:val="00A07F7A"/>
    <w:rsid w:val="00A13622"/>
    <w:rsid w:val="00A136EE"/>
    <w:rsid w:val="00A13FCE"/>
    <w:rsid w:val="00A147D7"/>
    <w:rsid w:val="00A166E5"/>
    <w:rsid w:val="00A16F0D"/>
    <w:rsid w:val="00A176E8"/>
    <w:rsid w:val="00A17CA7"/>
    <w:rsid w:val="00A2038F"/>
    <w:rsid w:val="00A246F7"/>
    <w:rsid w:val="00A30110"/>
    <w:rsid w:val="00A31F81"/>
    <w:rsid w:val="00A33D16"/>
    <w:rsid w:val="00A3416F"/>
    <w:rsid w:val="00A34808"/>
    <w:rsid w:val="00A42419"/>
    <w:rsid w:val="00A43099"/>
    <w:rsid w:val="00A44E54"/>
    <w:rsid w:val="00A50523"/>
    <w:rsid w:val="00A5167D"/>
    <w:rsid w:val="00A527E3"/>
    <w:rsid w:val="00A531E8"/>
    <w:rsid w:val="00A5329E"/>
    <w:rsid w:val="00A549AE"/>
    <w:rsid w:val="00A55A3C"/>
    <w:rsid w:val="00A55C24"/>
    <w:rsid w:val="00A60275"/>
    <w:rsid w:val="00A60324"/>
    <w:rsid w:val="00A60C4E"/>
    <w:rsid w:val="00A612B9"/>
    <w:rsid w:val="00A620DF"/>
    <w:rsid w:val="00A628E5"/>
    <w:rsid w:val="00A62CCA"/>
    <w:rsid w:val="00A6431D"/>
    <w:rsid w:val="00A65FCA"/>
    <w:rsid w:val="00A6611D"/>
    <w:rsid w:val="00A70DFE"/>
    <w:rsid w:val="00A7569C"/>
    <w:rsid w:val="00A81C94"/>
    <w:rsid w:val="00A81F67"/>
    <w:rsid w:val="00A8394A"/>
    <w:rsid w:val="00A840C7"/>
    <w:rsid w:val="00A8563A"/>
    <w:rsid w:val="00A8594C"/>
    <w:rsid w:val="00A969FC"/>
    <w:rsid w:val="00A96B1F"/>
    <w:rsid w:val="00A9703C"/>
    <w:rsid w:val="00AA0F97"/>
    <w:rsid w:val="00AA37B7"/>
    <w:rsid w:val="00AA3DBD"/>
    <w:rsid w:val="00AA44AE"/>
    <w:rsid w:val="00AA7BEB"/>
    <w:rsid w:val="00AB125D"/>
    <w:rsid w:val="00AB2147"/>
    <w:rsid w:val="00AB37B1"/>
    <w:rsid w:val="00AB7074"/>
    <w:rsid w:val="00AC1FD0"/>
    <w:rsid w:val="00AC3C1A"/>
    <w:rsid w:val="00AC42F0"/>
    <w:rsid w:val="00AC75E4"/>
    <w:rsid w:val="00AD0ABB"/>
    <w:rsid w:val="00AD19F0"/>
    <w:rsid w:val="00AD51F7"/>
    <w:rsid w:val="00AE264C"/>
    <w:rsid w:val="00AE2EEA"/>
    <w:rsid w:val="00AE45A9"/>
    <w:rsid w:val="00AE5178"/>
    <w:rsid w:val="00AE53A9"/>
    <w:rsid w:val="00AE65E6"/>
    <w:rsid w:val="00AE7DC2"/>
    <w:rsid w:val="00AF0C73"/>
    <w:rsid w:val="00AF2D36"/>
    <w:rsid w:val="00AF4F0B"/>
    <w:rsid w:val="00B021EE"/>
    <w:rsid w:val="00B02528"/>
    <w:rsid w:val="00B03357"/>
    <w:rsid w:val="00B112CB"/>
    <w:rsid w:val="00B11BBD"/>
    <w:rsid w:val="00B14543"/>
    <w:rsid w:val="00B157CE"/>
    <w:rsid w:val="00B16839"/>
    <w:rsid w:val="00B170C3"/>
    <w:rsid w:val="00B23744"/>
    <w:rsid w:val="00B239AF"/>
    <w:rsid w:val="00B27111"/>
    <w:rsid w:val="00B414F9"/>
    <w:rsid w:val="00B42B54"/>
    <w:rsid w:val="00B45365"/>
    <w:rsid w:val="00B50682"/>
    <w:rsid w:val="00B507B4"/>
    <w:rsid w:val="00B51A37"/>
    <w:rsid w:val="00B51EE2"/>
    <w:rsid w:val="00B522A4"/>
    <w:rsid w:val="00B53554"/>
    <w:rsid w:val="00B53EBA"/>
    <w:rsid w:val="00B560C7"/>
    <w:rsid w:val="00B60EA4"/>
    <w:rsid w:val="00B63A8F"/>
    <w:rsid w:val="00B64934"/>
    <w:rsid w:val="00B67B71"/>
    <w:rsid w:val="00B752D7"/>
    <w:rsid w:val="00B81D8A"/>
    <w:rsid w:val="00B830EA"/>
    <w:rsid w:val="00B8316A"/>
    <w:rsid w:val="00B90D0F"/>
    <w:rsid w:val="00B923BF"/>
    <w:rsid w:val="00B9352B"/>
    <w:rsid w:val="00B93879"/>
    <w:rsid w:val="00B93BE2"/>
    <w:rsid w:val="00B94541"/>
    <w:rsid w:val="00BA0BEF"/>
    <w:rsid w:val="00BA29D1"/>
    <w:rsid w:val="00BA30AC"/>
    <w:rsid w:val="00BA58BE"/>
    <w:rsid w:val="00BA614D"/>
    <w:rsid w:val="00BA6DE5"/>
    <w:rsid w:val="00BB0C3B"/>
    <w:rsid w:val="00BB2540"/>
    <w:rsid w:val="00BC1628"/>
    <w:rsid w:val="00BC3CB5"/>
    <w:rsid w:val="00BC3EAC"/>
    <w:rsid w:val="00BC7FD6"/>
    <w:rsid w:val="00BD40E7"/>
    <w:rsid w:val="00BD4529"/>
    <w:rsid w:val="00BD60A2"/>
    <w:rsid w:val="00BD6918"/>
    <w:rsid w:val="00BE0B11"/>
    <w:rsid w:val="00BE0EAD"/>
    <w:rsid w:val="00BE2238"/>
    <w:rsid w:val="00BE305F"/>
    <w:rsid w:val="00BE4686"/>
    <w:rsid w:val="00BE738B"/>
    <w:rsid w:val="00BF0F39"/>
    <w:rsid w:val="00BF4C0C"/>
    <w:rsid w:val="00BF4C2F"/>
    <w:rsid w:val="00BF53D3"/>
    <w:rsid w:val="00BF6A86"/>
    <w:rsid w:val="00BF7951"/>
    <w:rsid w:val="00C01EDC"/>
    <w:rsid w:val="00C064F6"/>
    <w:rsid w:val="00C10515"/>
    <w:rsid w:val="00C10EC3"/>
    <w:rsid w:val="00C24613"/>
    <w:rsid w:val="00C24E43"/>
    <w:rsid w:val="00C25948"/>
    <w:rsid w:val="00C260D4"/>
    <w:rsid w:val="00C26339"/>
    <w:rsid w:val="00C26AE4"/>
    <w:rsid w:val="00C30664"/>
    <w:rsid w:val="00C3226D"/>
    <w:rsid w:val="00C33CEB"/>
    <w:rsid w:val="00C340C0"/>
    <w:rsid w:val="00C34952"/>
    <w:rsid w:val="00C34F4F"/>
    <w:rsid w:val="00C36567"/>
    <w:rsid w:val="00C4135A"/>
    <w:rsid w:val="00C41AB8"/>
    <w:rsid w:val="00C43B13"/>
    <w:rsid w:val="00C4426D"/>
    <w:rsid w:val="00C4695C"/>
    <w:rsid w:val="00C5408B"/>
    <w:rsid w:val="00C60547"/>
    <w:rsid w:val="00C619A8"/>
    <w:rsid w:val="00C61AF2"/>
    <w:rsid w:val="00C629D6"/>
    <w:rsid w:val="00C63606"/>
    <w:rsid w:val="00C6442D"/>
    <w:rsid w:val="00C64880"/>
    <w:rsid w:val="00C660A5"/>
    <w:rsid w:val="00C669C8"/>
    <w:rsid w:val="00C66A7E"/>
    <w:rsid w:val="00C718BB"/>
    <w:rsid w:val="00C7240A"/>
    <w:rsid w:val="00C74005"/>
    <w:rsid w:val="00C74357"/>
    <w:rsid w:val="00C754EC"/>
    <w:rsid w:val="00C76CDD"/>
    <w:rsid w:val="00C80490"/>
    <w:rsid w:val="00C81DB4"/>
    <w:rsid w:val="00C83275"/>
    <w:rsid w:val="00C83688"/>
    <w:rsid w:val="00C840C7"/>
    <w:rsid w:val="00C85001"/>
    <w:rsid w:val="00C875F5"/>
    <w:rsid w:val="00C91FB7"/>
    <w:rsid w:val="00C927A5"/>
    <w:rsid w:val="00C92B6D"/>
    <w:rsid w:val="00C940FC"/>
    <w:rsid w:val="00C95C54"/>
    <w:rsid w:val="00C95E4A"/>
    <w:rsid w:val="00C96521"/>
    <w:rsid w:val="00CA1805"/>
    <w:rsid w:val="00CA2461"/>
    <w:rsid w:val="00CA34C5"/>
    <w:rsid w:val="00CA603B"/>
    <w:rsid w:val="00CA6679"/>
    <w:rsid w:val="00CB1418"/>
    <w:rsid w:val="00CB1953"/>
    <w:rsid w:val="00CB4110"/>
    <w:rsid w:val="00CB6098"/>
    <w:rsid w:val="00CB742F"/>
    <w:rsid w:val="00CC04CE"/>
    <w:rsid w:val="00CC0813"/>
    <w:rsid w:val="00CC165E"/>
    <w:rsid w:val="00CC176B"/>
    <w:rsid w:val="00CC2BDA"/>
    <w:rsid w:val="00CC6000"/>
    <w:rsid w:val="00CD0BF7"/>
    <w:rsid w:val="00CD2BCE"/>
    <w:rsid w:val="00CD2D1B"/>
    <w:rsid w:val="00CE24C7"/>
    <w:rsid w:val="00CE25B7"/>
    <w:rsid w:val="00CE3246"/>
    <w:rsid w:val="00CE36E0"/>
    <w:rsid w:val="00CE7F85"/>
    <w:rsid w:val="00CF046B"/>
    <w:rsid w:val="00CF152D"/>
    <w:rsid w:val="00CF4738"/>
    <w:rsid w:val="00CF5459"/>
    <w:rsid w:val="00D0097E"/>
    <w:rsid w:val="00D02D3F"/>
    <w:rsid w:val="00D036A1"/>
    <w:rsid w:val="00D072C8"/>
    <w:rsid w:val="00D07B20"/>
    <w:rsid w:val="00D103E9"/>
    <w:rsid w:val="00D10C7E"/>
    <w:rsid w:val="00D11AA1"/>
    <w:rsid w:val="00D131AD"/>
    <w:rsid w:val="00D135FA"/>
    <w:rsid w:val="00D168A7"/>
    <w:rsid w:val="00D20778"/>
    <w:rsid w:val="00D20F05"/>
    <w:rsid w:val="00D21AA4"/>
    <w:rsid w:val="00D252A0"/>
    <w:rsid w:val="00D32649"/>
    <w:rsid w:val="00D37A6F"/>
    <w:rsid w:val="00D4255B"/>
    <w:rsid w:val="00D43275"/>
    <w:rsid w:val="00D44D3B"/>
    <w:rsid w:val="00D46D75"/>
    <w:rsid w:val="00D50862"/>
    <w:rsid w:val="00D51122"/>
    <w:rsid w:val="00D520F5"/>
    <w:rsid w:val="00D53A7A"/>
    <w:rsid w:val="00D5562D"/>
    <w:rsid w:val="00D57919"/>
    <w:rsid w:val="00D61C76"/>
    <w:rsid w:val="00D64E4A"/>
    <w:rsid w:val="00D65E40"/>
    <w:rsid w:val="00D67177"/>
    <w:rsid w:val="00D700A0"/>
    <w:rsid w:val="00D71181"/>
    <w:rsid w:val="00D71BC8"/>
    <w:rsid w:val="00D72A7F"/>
    <w:rsid w:val="00D72D2B"/>
    <w:rsid w:val="00D7657C"/>
    <w:rsid w:val="00D771C2"/>
    <w:rsid w:val="00D8298A"/>
    <w:rsid w:val="00D833A9"/>
    <w:rsid w:val="00D957D4"/>
    <w:rsid w:val="00D965B0"/>
    <w:rsid w:val="00D96F78"/>
    <w:rsid w:val="00D972CA"/>
    <w:rsid w:val="00DA079A"/>
    <w:rsid w:val="00DA3DD4"/>
    <w:rsid w:val="00DA4497"/>
    <w:rsid w:val="00DA6264"/>
    <w:rsid w:val="00DA67AD"/>
    <w:rsid w:val="00DA6979"/>
    <w:rsid w:val="00DB672A"/>
    <w:rsid w:val="00DC113B"/>
    <w:rsid w:val="00DC1CB9"/>
    <w:rsid w:val="00DC2C1D"/>
    <w:rsid w:val="00DD234A"/>
    <w:rsid w:val="00DD65BF"/>
    <w:rsid w:val="00DE398C"/>
    <w:rsid w:val="00DE5C57"/>
    <w:rsid w:val="00DE705F"/>
    <w:rsid w:val="00DF1169"/>
    <w:rsid w:val="00DF1E4B"/>
    <w:rsid w:val="00DF2044"/>
    <w:rsid w:val="00DF250F"/>
    <w:rsid w:val="00DF467C"/>
    <w:rsid w:val="00DF6467"/>
    <w:rsid w:val="00DF7847"/>
    <w:rsid w:val="00E0120C"/>
    <w:rsid w:val="00E02886"/>
    <w:rsid w:val="00E06C26"/>
    <w:rsid w:val="00E14A6C"/>
    <w:rsid w:val="00E150BC"/>
    <w:rsid w:val="00E154AE"/>
    <w:rsid w:val="00E15AEF"/>
    <w:rsid w:val="00E15E94"/>
    <w:rsid w:val="00E209D2"/>
    <w:rsid w:val="00E23AAB"/>
    <w:rsid w:val="00E24D8C"/>
    <w:rsid w:val="00E2542E"/>
    <w:rsid w:val="00E262BC"/>
    <w:rsid w:val="00E27191"/>
    <w:rsid w:val="00E27631"/>
    <w:rsid w:val="00E342A9"/>
    <w:rsid w:val="00E3481E"/>
    <w:rsid w:val="00E349D7"/>
    <w:rsid w:val="00E40DEB"/>
    <w:rsid w:val="00E40F6A"/>
    <w:rsid w:val="00E4498A"/>
    <w:rsid w:val="00E45A6D"/>
    <w:rsid w:val="00E468A4"/>
    <w:rsid w:val="00E5111A"/>
    <w:rsid w:val="00E51509"/>
    <w:rsid w:val="00E527C3"/>
    <w:rsid w:val="00E5294B"/>
    <w:rsid w:val="00E545B0"/>
    <w:rsid w:val="00E6433B"/>
    <w:rsid w:val="00E6769F"/>
    <w:rsid w:val="00E70584"/>
    <w:rsid w:val="00E70E3A"/>
    <w:rsid w:val="00E72539"/>
    <w:rsid w:val="00E773F6"/>
    <w:rsid w:val="00E83089"/>
    <w:rsid w:val="00E84938"/>
    <w:rsid w:val="00E84D19"/>
    <w:rsid w:val="00E84D97"/>
    <w:rsid w:val="00E8736F"/>
    <w:rsid w:val="00E90855"/>
    <w:rsid w:val="00E917D9"/>
    <w:rsid w:val="00E92C94"/>
    <w:rsid w:val="00E94138"/>
    <w:rsid w:val="00E958AB"/>
    <w:rsid w:val="00E9738F"/>
    <w:rsid w:val="00E979DA"/>
    <w:rsid w:val="00EA03DA"/>
    <w:rsid w:val="00EA38AB"/>
    <w:rsid w:val="00EA39D6"/>
    <w:rsid w:val="00EA7200"/>
    <w:rsid w:val="00EB11E7"/>
    <w:rsid w:val="00EB1413"/>
    <w:rsid w:val="00EB1AE3"/>
    <w:rsid w:val="00EB410D"/>
    <w:rsid w:val="00EB54E7"/>
    <w:rsid w:val="00EB58A5"/>
    <w:rsid w:val="00EB5F67"/>
    <w:rsid w:val="00EC3D74"/>
    <w:rsid w:val="00EC7AE5"/>
    <w:rsid w:val="00ED19B4"/>
    <w:rsid w:val="00ED3C54"/>
    <w:rsid w:val="00ED47F3"/>
    <w:rsid w:val="00ED57A1"/>
    <w:rsid w:val="00ED5A13"/>
    <w:rsid w:val="00ED6DB9"/>
    <w:rsid w:val="00EE206C"/>
    <w:rsid w:val="00EE27C8"/>
    <w:rsid w:val="00F001A2"/>
    <w:rsid w:val="00F005BE"/>
    <w:rsid w:val="00F022B8"/>
    <w:rsid w:val="00F02B19"/>
    <w:rsid w:val="00F032C1"/>
    <w:rsid w:val="00F044CE"/>
    <w:rsid w:val="00F062DA"/>
    <w:rsid w:val="00F10468"/>
    <w:rsid w:val="00F1097B"/>
    <w:rsid w:val="00F16E31"/>
    <w:rsid w:val="00F1782C"/>
    <w:rsid w:val="00F208A7"/>
    <w:rsid w:val="00F20A6D"/>
    <w:rsid w:val="00F24230"/>
    <w:rsid w:val="00F2501A"/>
    <w:rsid w:val="00F26450"/>
    <w:rsid w:val="00F317A0"/>
    <w:rsid w:val="00F32FB0"/>
    <w:rsid w:val="00F33E29"/>
    <w:rsid w:val="00F345CC"/>
    <w:rsid w:val="00F37FDB"/>
    <w:rsid w:val="00F41A01"/>
    <w:rsid w:val="00F41B20"/>
    <w:rsid w:val="00F45455"/>
    <w:rsid w:val="00F45F39"/>
    <w:rsid w:val="00F45F64"/>
    <w:rsid w:val="00F55543"/>
    <w:rsid w:val="00F61F45"/>
    <w:rsid w:val="00F6369C"/>
    <w:rsid w:val="00F6370B"/>
    <w:rsid w:val="00F644DE"/>
    <w:rsid w:val="00F7250F"/>
    <w:rsid w:val="00F750AA"/>
    <w:rsid w:val="00F80C9E"/>
    <w:rsid w:val="00F8168E"/>
    <w:rsid w:val="00F8204E"/>
    <w:rsid w:val="00F84CDE"/>
    <w:rsid w:val="00F917A9"/>
    <w:rsid w:val="00F92CDB"/>
    <w:rsid w:val="00F931B4"/>
    <w:rsid w:val="00F96C04"/>
    <w:rsid w:val="00F96C11"/>
    <w:rsid w:val="00F97EDB"/>
    <w:rsid w:val="00FA1A3E"/>
    <w:rsid w:val="00FA39BA"/>
    <w:rsid w:val="00FA401F"/>
    <w:rsid w:val="00FA7990"/>
    <w:rsid w:val="00FB0B25"/>
    <w:rsid w:val="00FB3073"/>
    <w:rsid w:val="00FB42BD"/>
    <w:rsid w:val="00FB435A"/>
    <w:rsid w:val="00FB51E9"/>
    <w:rsid w:val="00FB5973"/>
    <w:rsid w:val="00FC1002"/>
    <w:rsid w:val="00FC12CD"/>
    <w:rsid w:val="00FC2471"/>
    <w:rsid w:val="00FC3E7E"/>
    <w:rsid w:val="00FC3EB5"/>
    <w:rsid w:val="00FC554B"/>
    <w:rsid w:val="00FC5A83"/>
    <w:rsid w:val="00FC6111"/>
    <w:rsid w:val="00FC7273"/>
    <w:rsid w:val="00FD0AFE"/>
    <w:rsid w:val="00FD5756"/>
    <w:rsid w:val="00FE0A96"/>
    <w:rsid w:val="00FE136D"/>
    <w:rsid w:val="00FE2A84"/>
    <w:rsid w:val="00FE31D3"/>
    <w:rsid w:val="00FE5291"/>
    <w:rsid w:val="00FE5590"/>
    <w:rsid w:val="00FE628C"/>
    <w:rsid w:val="00FE6926"/>
    <w:rsid w:val="00FF331B"/>
    <w:rsid w:val="00FF4B03"/>
    <w:rsid w:val="00FF5E26"/>
    <w:rsid w:val="00FF79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0DCF2583"/>
  <w15:chartTrackingRefBased/>
  <w15:docId w15:val="{215A8019-BFC8-4F8E-AAC8-4EEED18C1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99"/>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DB672A"/>
    <w:rPr>
      <w:rFonts w:ascii="Arial" w:hAnsi="Arial"/>
      <w:sz w:val="24"/>
      <w:szCs w:val="24"/>
    </w:rPr>
  </w:style>
  <w:style w:type="paragraph" w:styleId="Heading2">
    <w:name w:val="heading 2"/>
    <w:basedOn w:val="Normal"/>
    <w:next w:val="Normal"/>
    <w:link w:val="Heading2Char"/>
    <w:qFormat/>
    <w:rsid w:val="00475ED8"/>
    <w:pPr>
      <w:keepNext/>
      <w:spacing w:before="120"/>
      <w:jc w:val="both"/>
      <w:outlineLvl w:val="1"/>
    </w:pPr>
    <w:rPr>
      <w:rFonts w:eastAsia="Batang"/>
      <w:b/>
      <w:snapToGrid w:val="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45C8E"/>
    <w:pPr>
      <w:tabs>
        <w:tab w:val="center" w:pos="4320"/>
        <w:tab w:val="right" w:pos="8640"/>
      </w:tabs>
    </w:pPr>
    <w:rPr>
      <w:rFonts w:ascii="Times New Roman" w:hAnsi="Times New Roman"/>
    </w:rPr>
  </w:style>
  <w:style w:type="paragraph" w:styleId="Footer">
    <w:name w:val="footer"/>
    <w:basedOn w:val="Normal"/>
    <w:link w:val="FooterChar"/>
    <w:uiPriority w:val="99"/>
    <w:rsid w:val="0022007F"/>
    <w:pPr>
      <w:tabs>
        <w:tab w:val="center" w:pos="4320"/>
        <w:tab w:val="right" w:pos="8640"/>
      </w:tabs>
    </w:pPr>
  </w:style>
  <w:style w:type="paragraph" w:styleId="Title">
    <w:name w:val="Title"/>
    <w:basedOn w:val="Normal"/>
    <w:link w:val="TitleChar"/>
    <w:qFormat/>
    <w:rsid w:val="00516167"/>
    <w:pPr>
      <w:jc w:val="center"/>
    </w:pPr>
    <w:rPr>
      <w:rFonts w:ascii="Comic Sans MS" w:hAnsi="Comic Sans MS"/>
      <w:b/>
      <w:szCs w:val="20"/>
    </w:rPr>
  </w:style>
  <w:style w:type="character" w:customStyle="1" w:styleId="TitleChar">
    <w:name w:val="Title Char"/>
    <w:link w:val="Title"/>
    <w:rsid w:val="00516167"/>
    <w:rPr>
      <w:rFonts w:ascii="Comic Sans MS" w:hAnsi="Comic Sans MS"/>
      <w:b/>
      <w:sz w:val="24"/>
    </w:rPr>
  </w:style>
  <w:style w:type="character" w:styleId="Hyperlink">
    <w:name w:val="Hyperlink"/>
    <w:rsid w:val="00516167"/>
    <w:rPr>
      <w:color w:val="0000FF"/>
      <w:u w:val="single"/>
    </w:rPr>
  </w:style>
  <w:style w:type="paragraph" w:styleId="ListParagraph">
    <w:name w:val="List Paragraph"/>
    <w:basedOn w:val="Normal"/>
    <w:uiPriority w:val="34"/>
    <w:qFormat/>
    <w:rsid w:val="00E06C26"/>
    <w:pPr>
      <w:ind w:left="720"/>
    </w:pPr>
    <w:rPr>
      <w:rFonts w:ascii="Comic Sans MS" w:hAnsi="Comic Sans MS"/>
      <w:szCs w:val="20"/>
    </w:rPr>
  </w:style>
  <w:style w:type="paragraph" w:styleId="BalloonText">
    <w:name w:val="Balloon Text"/>
    <w:basedOn w:val="Normal"/>
    <w:link w:val="BalloonTextChar"/>
    <w:rsid w:val="00633F3A"/>
    <w:rPr>
      <w:rFonts w:ascii="Tahoma" w:hAnsi="Tahoma" w:cs="Tahoma"/>
      <w:sz w:val="16"/>
      <w:szCs w:val="16"/>
    </w:rPr>
  </w:style>
  <w:style w:type="character" w:customStyle="1" w:styleId="BalloonTextChar">
    <w:name w:val="Balloon Text Char"/>
    <w:link w:val="BalloonText"/>
    <w:rsid w:val="00633F3A"/>
    <w:rPr>
      <w:rFonts w:ascii="Tahoma" w:hAnsi="Tahoma" w:cs="Tahoma"/>
      <w:sz w:val="16"/>
      <w:szCs w:val="16"/>
    </w:rPr>
  </w:style>
  <w:style w:type="paragraph" w:styleId="CommentText">
    <w:name w:val="annotation text"/>
    <w:basedOn w:val="Normal"/>
    <w:link w:val="CommentTextChar"/>
    <w:rsid w:val="00C76CDD"/>
    <w:rPr>
      <w:rFonts w:cs="Arial"/>
      <w:sz w:val="20"/>
      <w:szCs w:val="20"/>
    </w:rPr>
  </w:style>
  <w:style w:type="character" w:customStyle="1" w:styleId="CommentTextChar">
    <w:name w:val="Comment Text Char"/>
    <w:link w:val="CommentText"/>
    <w:rsid w:val="00C76CDD"/>
    <w:rPr>
      <w:rFonts w:ascii="Arial" w:hAnsi="Arial" w:cs="Arial"/>
    </w:rPr>
  </w:style>
  <w:style w:type="paragraph" w:styleId="BodyText3">
    <w:name w:val="Body Text 3"/>
    <w:basedOn w:val="Normal"/>
    <w:link w:val="BodyText3Char"/>
    <w:rsid w:val="00C76CDD"/>
    <w:pPr>
      <w:jc w:val="both"/>
    </w:pPr>
    <w:rPr>
      <w:rFonts w:ascii="Helvetica" w:hAnsi="Helvetica"/>
      <w:szCs w:val="20"/>
    </w:rPr>
  </w:style>
  <w:style w:type="character" w:customStyle="1" w:styleId="BodyText3Char">
    <w:name w:val="Body Text 3 Char"/>
    <w:link w:val="BodyText3"/>
    <w:rsid w:val="00C76CDD"/>
    <w:rPr>
      <w:rFonts w:ascii="Helvetica" w:hAnsi="Helvetica"/>
      <w:sz w:val="24"/>
    </w:rPr>
  </w:style>
  <w:style w:type="table" w:styleId="TableGrid">
    <w:name w:val="Table Grid"/>
    <w:basedOn w:val="TableNormal"/>
    <w:rsid w:val="00F917A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w:hAnsi="Arial"/>
        <w:color w:val="AEAAAA" w:themeColor="background2" w:themeShade="BF"/>
        <w:sz w:val="20"/>
      </w:rPr>
      <w:tblPr/>
      <w:tcPr>
        <w:shd w:val="clear" w:color="auto" w:fill="AEAAAA" w:themeFill="background2" w:themeFillShade="BF"/>
      </w:tcPr>
    </w:tblStylePr>
  </w:style>
  <w:style w:type="character" w:customStyle="1" w:styleId="Normal1">
    <w:name w:val="Normal1"/>
    <w:rsid w:val="009D7453"/>
    <w:rPr>
      <w:rFonts w:ascii="Helvetica" w:eastAsia="Helvetica" w:hAnsi="Helvetica"/>
      <w:noProof w:val="0"/>
      <w:sz w:val="24"/>
      <w:lang w:val="en-US"/>
    </w:rPr>
  </w:style>
  <w:style w:type="paragraph" w:customStyle="1" w:styleId="ICCSECTIONl4L7">
    <w:name w:val="ICCSECTION_l4_L7"/>
    <w:rsid w:val="00080A3E"/>
    <w:pPr>
      <w:widowControl w:val="0"/>
      <w:autoSpaceDE w:val="0"/>
      <w:autoSpaceDN w:val="0"/>
      <w:adjustRightInd w:val="0"/>
      <w:ind w:left="720"/>
    </w:pPr>
    <w:rPr>
      <w:rFonts w:ascii="Arial" w:eastAsia="SimSun" w:hAnsi="Arial" w:cs="Arial"/>
    </w:rPr>
  </w:style>
  <w:style w:type="paragraph" w:styleId="Revision">
    <w:name w:val="Revision"/>
    <w:hidden/>
    <w:uiPriority w:val="99"/>
    <w:semiHidden/>
    <w:rsid w:val="00B157CE"/>
    <w:rPr>
      <w:rFonts w:ascii="Arial" w:hAnsi="Arial"/>
      <w:sz w:val="24"/>
      <w:szCs w:val="24"/>
    </w:rPr>
  </w:style>
  <w:style w:type="paragraph" w:styleId="BodyText">
    <w:name w:val="Body Text"/>
    <w:basedOn w:val="Normal"/>
    <w:link w:val="BodyTextChar"/>
    <w:uiPriority w:val="99"/>
    <w:unhideWhenUsed/>
    <w:rsid w:val="00E0120C"/>
    <w:pPr>
      <w:spacing w:after="120" w:line="276" w:lineRule="auto"/>
    </w:pPr>
    <w:rPr>
      <w:rFonts w:ascii="Times New Roman" w:hAnsi="Times New Roman"/>
      <w:sz w:val="22"/>
      <w:szCs w:val="22"/>
    </w:rPr>
  </w:style>
  <w:style w:type="character" w:customStyle="1" w:styleId="BodyTextChar">
    <w:name w:val="Body Text Char"/>
    <w:link w:val="BodyText"/>
    <w:uiPriority w:val="99"/>
    <w:rsid w:val="00E0120C"/>
    <w:rPr>
      <w:sz w:val="22"/>
      <w:szCs w:val="22"/>
    </w:rPr>
  </w:style>
  <w:style w:type="paragraph" w:customStyle="1" w:styleId="TableParagraph">
    <w:name w:val="Table Paragraph"/>
    <w:basedOn w:val="Normal"/>
    <w:uiPriority w:val="1"/>
    <w:qFormat/>
    <w:rsid w:val="00E0120C"/>
    <w:pPr>
      <w:autoSpaceDE w:val="0"/>
      <w:autoSpaceDN w:val="0"/>
      <w:adjustRightInd w:val="0"/>
      <w:spacing w:before="7"/>
      <w:ind w:left="397"/>
      <w:jc w:val="center"/>
    </w:pPr>
    <w:rPr>
      <w:rFonts w:ascii="Times New Roman" w:hAnsi="Times New Roman"/>
    </w:rPr>
  </w:style>
  <w:style w:type="character" w:customStyle="1" w:styleId="FooterChar">
    <w:name w:val="Footer Char"/>
    <w:basedOn w:val="DefaultParagraphFont"/>
    <w:link w:val="Footer"/>
    <w:uiPriority w:val="99"/>
    <w:rsid w:val="002B71B1"/>
    <w:rPr>
      <w:rFonts w:ascii="Arial" w:hAnsi="Arial"/>
      <w:sz w:val="24"/>
      <w:szCs w:val="24"/>
    </w:rPr>
  </w:style>
  <w:style w:type="character" w:customStyle="1" w:styleId="Heading2Char">
    <w:name w:val="Heading 2 Char"/>
    <w:basedOn w:val="DefaultParagraphFont"/>
    <w:link w:val="Heading2"/>
    <w:rsid w:val="00475ED8"/>
    <w:rPr>
      <w:rFonts w:ascii="Arial" w:eastAsia="Batang" w:hAnsi="Arial"/>
      <w:b/>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6638226">
      <w:bodyDiv w:val="1"/>
      <w:marLeft w:val="0"/>
      <w:marRight w:val="0"/>
      <w:marTop w:val="0"/>
      <w:marBottom w:val="0"/>
      <w:divBdr>
        <w:top w:val="none" w:sz="0" w:space="0" w:color="auto"/>
        <w:left w:val="none" w:sz="0" w:space="0" w:color="auto"/>
        <w:bottom w:val="none" w:sz="0" w:space="0" w:color="auto"/>
        <w:right w:val="none" w:sz="0" w:space="0" w:color="auto"/>
      </w:divBdr>
    </w:div>
    <w:div w:id="1009407980">
      <w:bodyDiv w:val="1"/>
      <w:marLeft w:val="0"/>
      <w:marRight w:val="0"/>
      <w:marTop w:val="0"/>
      <w:marBottom w:val="0"/>
      <w:divBdr>
        <w:top w:val="none" w:sz="0" w:space="0" w:color="auto"/>
        <w:left w:val="none" w:sz="0" w:space="0" w:color="auto"/>
        <w:bottom w:val="none" w:sz="0" w:space="0" w:color="auto"/>
        <w:right w:val="none" w:sz="0" w:space="0" w:color="auto"/>
      </w:divBdr>
    </w:div>
    <w:div w:id="1152134247">
      <w:bodyDiv w:val="1"/>
      <w:marLeft w:val="0"/>
      <w:marRight w:val="0"/>
      <w:marTop w:val="0"/>
      <w:marBottom w:val="0"/>
      <w:divBdr>
        <w:top w:val="none" w:sz="0" w:space="0" w:color="auto"/>
        <w:left w:val="none" w:sz="0" w:space="0" w:color="auto"/>
        <w:bottom w:val="none" w:sz="0" w:space="0" w:color="auto"/>
        <w:right w:val="none" w:sz="0" w:space="0" w:color="auto"/>
      </w:divBdr>
    </w:div>
    <w:div w:id="1245265315">
      <w:bodyDiv w:val="1"/>
      <w:marLeft w:val="0"/>
      <w:marRight w:val="0"/>
      <w:marTop w:val="0"/>
      <w:marBottom w:val="0"/>
      <w:divBdr>
        <w:top w:val="none" w:sz="0" w:space="0" w:color="auto"/>
        <w:left w:val="none" w:sz="0" w:space="0" w:color="auto"/>
        <w:bottom w:val="none" w:sz="0" w:space="0" w:color="auto"/>
        <w:right w:val="none" w:sz="0" w:space="0" w:color="auto"/>
      </w:divBdr>
    </w:div>
    <w:div w:id="1248222563">
      <w:bodyDiv w:val="1"/>
      <w:marLeft w:val="0"/>
      <w:marRight w:val="0"/>
      <w:marTop w:val="0"/>
      <w:marBottom w:val="0"/>
      <w:divBdr>
        <w:top w:val="none" w:sz="0" w:space="0" w:color="auto"/>
        <w:left w:val="none" w:sz="0" w:space="0" w:color="auto"/>
        <w:bottom w:val="none" w:sz="0" w:space="0" w:color="auto"/>
        <w:right w:val="none" w:sz="0" w:space="0" w:color="auto"/>
      </w:divBdr>
    </w:div>
    <w:div w:id="1249926187">
      <w:bodyDiv w:val="1"/>
      <w:marLeft w:val="0"/>
      <w:marRight w:val="0"/>
      <w:marTop w:val="0"/>
      <w:marBottom w:val="0"/>
      <w:divBdr>
        <w:top w:val="none" w:sz="0" w:space="0" w:color="auto"/>
        <w:left w:val="none" w:sz="0" w:space="0" w:color="auto"/>
        <w:bottom w:val="none" w:sz="0" w:space="0" w:color="auto"/>
        <w:right w:val="none" w:sz="0" w:space="0" w:color="auto"/>
      </w:divBdr>
      <w:divsChild>
        <w:div w:id="133841730">
          <w:marLeft w:val="0"/>
          <w:marRight w:val="0"/>
          <w:marTop w:val="0"/>
          <w:marBottom w:val="0"/>
          <w:divBdr>
            <w:top w:val="none" w:sz="0" w:space="0" w:color="auto"/>
            <w:left w:val="none" w:sz="0" w:space="0" w:color="auto"/>
            <w:bottom w:val="none" w:sz="0" w:space="0" w:color="auto"/>
            <w:right w:val="none" w:sz="0" w:space="0" w:color="auto"/>
          </w:divBdr>
        </w:div>
        <w:div w:id="148642910">
          <w:marLeft w:val="0"/>
          <w:marRight w:val="0"/>
          <w:marTop w:val="0"/>
          <w:marBottom w:val="0"/>
          <w:divBdr>
            <w:top w:val="none" w:sz="0" w:space="0" w:color="auto"/>
            <w:left w:val="none" w:sz="0" w:space="0" w:color="auto"/>
            <w:bottom w:val="none" w:sz="0" w:space="0" w:color="auto"/>
            <w:right w:val="none" w:sz="0" w:space="0" w:color="auto"/>
          </w:divBdr>
        </w:div>
        <w:div w:id="202983151">
          <w:marLeft w:val="0"/>
          <w:marRight w:val="0"/>
          <w:marTop w:val="0"/>
          <w:marBottom w:val="0"/>
          <w:divBdr>
            <w:top w:val="none" w:sz="0" w:space="0" w:color="auto"/>
            <w:left w:val="none" w:sz="0" w:space="0" w:color="auto"/>
            <w:bottom w:val="none" w:sz="0" w:space="0" w:color="auto"/>
            <w:right w:val="none" w:sz="0" w:space="0" w:color="auto"/>
          </w:divBdr>
        </w:div>
        <w:div w:id="203518954">
          <w:marLeft w:val="0"/>
          <w:marRight w:val="0"/>
          <w:marTop w:val="0"/>
          <w:marBottom w:val="0"/>
          <w:divBdr>
            <w:top w:val="none" w:sz="0" w:space="0" w:color="auto"/>
            <w:left w:val="none" w:sz="0" w:space="0" w:color="auto"/>
            <w:bottom w:val="none" w:sz="0" w:space="0" w:color="auto"/>
            <w:right w:val="none" w:sz="0" w:space="0" w:color="auto"/>
          </w:divBdr>
        </w:div>
        <w:div w:id="218397221">
          <w:marLeft w:val="0"/>
          <w:marRight w:val="0"/>
          <w:marTop w:val="0"/>
          <w:marBottom w:val="0"/>
          <w:divBdr>
            <w:top w:val="none" w:sz="0" w:space="0" w:color="auto"/>
            <w:left w:val="none" w:sz="0" w:space="0" w:color="auto"/>
            <w:bottom w:val="none" w:sz="0" w:space="0" w:color="auto"/>
            <w:right w:val="none" w:sz="0" w:space="0" w:color="auto"/>
          </w:divBdr>
        </w:div>
        <w:div w:id="340203472">
          <w:marLeft w:val="0"/>
          <w:marRight w:val="0"/>
          <w:marTop w:val="0"/>
          <w:marBottom w:val="0"/>
          <w:divBdr>
            <w:top w:val="none" w:sz="0" w:space="0" w:color="auto"/>
            <w:left w:val="none" w:sz="0" w:space="0" w:color="auto"/>
            <w:bottom w:val="none" w:sz="0" w:space="0" w:color="auto"/>
            <w:right w:val="none" w:sz="0" w:space="0" w:color="auto"/>
          </w:divBdr>
        </w:div>
        <w:div w:id="419253816">
          <w:marLeft w:val="0"/>
          <w:marRight w:val="0"/>
          <w:marTop w:val="0"/>
          <w:marBottom w:val="0"/>
          <w:divBdr>
            <w:top w:val="none" w:sz="0" w:space="0" w:color="auto"/>
            <w:left w:val="none" w:sz="0" w:space="0" w:color="auto"/>
            <w:bottom w:val="none" w:sz="0" w:space="0" w:color="auto"/>
            <w:right w:val="none" w:sz="0" w:space="0" w:color="auto"/>
          </w:divBdr>
        </w:div>
        <w:div w:id="560210371">
          <w:marLeft w:val="0"/>
          <w:marRight w:val="0"/>
          <w:marTop w:val="0"/>
          <w:marBottom w:val="0"/>
          <w:divBdr>
            <w:top w:val="none" w:sz="0" w:space="0" w:color="auto"/>
            <w:left w:val="none" w:sz="0" w:space="0" w:color="auto"/>
            <w:bottom w:val="none" w:sz="0" w:space="0" w:color="auto"/>
            <w:right w:val="none" w:sz="0" w:space="0" w:color="auto"/>
          </w:divBdr>
        </w:div>
        <w:div w:id="666910196">
          <w:marLeft w:val="0"/>
          <w:marRight w:val="0"/>
          <w:marTop w:val="0"/>
          <w:marBottom w:val="0"/>
          <w:divBdr>
            <w:top w:val="none" w:sz="0" w:space="0" w:color="auto"/>
            <w:left w:val="none" w:sz="0" w:space="0" w:color="auto"/>
            <w:bottom w:val="none" w:sz="0" w:space="0" w:color="auto"/>
            <w:right w:val="none" w:sz="0" w:space="0" w:color="auto"/>
          </w:divBdr>
        </w:div>
        <w:div w:id="688024432">
          <w:marLeft w:val="0"/>
          <w:marRight w:val="0"/>
          <w:marTop w:val="0"/>
          <w:marBottom w:val="0"/>
          <w:divBdr>
            <w:top w:val="none" w:sz="0" w:space="0" w:color="auto"/>
            <w:left w:val="none" w:sz="0" w:space="0" w:color="auto"/>
            <w:bottom w:val="none" w:sz="0" w:space="0" w:color="auto"/>
            <w:right w:val="none" w:sz="0" w:space="0" w:color="auto"/>
          </w:divBdr>
        </w:div>
        <w:div w:id="761336188">
          <w:marLeft w:val="0"/>
          <w:marRight w:val="0"/>
          <w:marTop w:val="0"/>
          <w:marBottom w:val="0"/>
          <w:divBdr>
            <w:top w:val="none" w:sz="0" w:space="0" w:color="auto"/>
            <w:left w:val="none" w:sz="0" w:space="0" w:color="auto"/>
            <w:bottom w:val="none" w:sz="0" w:space="0" w:color="auto"/>
            <w:right w:val="none" w:sz="0" w:space="0" w:color="auto"/>
          </w:divBdr>
        </w:div>
        <w:div w:id="836960915">
          <w:marLeft w:val="0"/>
          <w:marRight w:val="0"/>
          <w:marTop w:val="0"/>
          <w:marBottom w:val="0"/>
          <w:divBdr>
            <w:top w:val="none" w:sz="0" w:space="0" w:color="auto"/>
            <w:left w:val="none" w:sz="0" w:space="0" w:color="auto"/>
            <w:bottom w:val="none" w:sz="0" w:space="0" w:color="auto"/>
            <w:right w:val="none" w:sz="0" w:space="0" w:color="auto"/>
          </w:divBdr>
        </w:div>
        <w:div w:id="1085882640">
          <w:marLeft w:val="0"/>
          <w:marRight w:val="0"/>
          <w:marTop w:val="0"/>
          <w:marBottom w:val="0"/>
          <w:divBdr>
            <w:top w:val="none" w:sz="0" w:space="0" w:color="auto"/>
            <w:left w:val="none" w:sz="0" w:space="0" w:color="auto"/>
            <w:bottom w:val="none" w:sz="0" w:space="0" w:color="auto"/>
            <w:right w:val="none" w:sz="0" w:space="0" w:color="auto"/>
          </w:divBdr>
        </w:div>
        <w:div w:id="1138836501">
          <w:marLeft w:val="0"/>
          <w:marRight w:val="0"/>
          <w:marTop w:val="0"/>
          <w:marBottom w:val="0"/>
          <w:divBdr>
            <w:top w:val="none" w:sz="0" w:space="0" w:color="auto"/>
            <w:left w:val="none" w:sz="0" w:space="0" w:color="auto"/>
            <w:bottom w:val="none" w:sz="0" w:space="0" w:color="auto"/>
            <w:right w:val="none" w:sz="0" w:space="0" w:color="auto"/>
          </w:divBdr>
        </w:div>
        <w:div w:id="1252855948">
          <w:marLeft w:val="0"/>
          <w:marRight w:val="0"/>
          <w:marTop w:val="0"/>
          <w:marBottom w:val="0"/>
          <w:divBdr>
            <w:top w:val="none" w:sz="0" w:space="0" w:color="auto"/>
            <w:left w:val="none" w:sz="0" w:space="0" w:color="auto"/>
            <w:bottom w:val="none" w:sz="0" w:space="0" w:color="auto"/>
            <w:right w:val="none" w:sz="0" w:space="0" w:color="auto"/>
          </w:divBdr>
        </w:div>
        <w:div w:id="1268468123">
          <w:marLeft w:val="0"/>
          <w:marRight w:val="0"/>
          <w:marTop w:val="0"/>
          <w:marBottom w:val="0"/>
          <w:divBdr>
            <w:top w:val="none" w:sz="0" w:space="0" w:color="auto"/>
            <w:left w:val="none" w:sz="0" w:space="0" w:color="auto"/>
            <w:bottom w:val="none" w:sz="0" w:space="0" w:color="auto"/>
            <w:right w:val="none" w:sz="0" w:space="0" w:color="auto"/>
          </w:divBdr>
        </w:div>
        <w:div w:id="1313605985">
          <w:marLeft w:val="0"/>
          <w:marRight w:val="0"/>
          <w:marTop w:val="0"/>
          <w:marBottom w:val="0"/>
          <w:divBdr>
            <w:top w:val="none" w:sz="0" w:space="0" w:color="auto"/>
            <w:left w:val="none" w:sz="0" w:space="0" w:color="auto"/>
            <w:bottom w:val="none" w:sz="0" w:space="0" w:color="auto"/>
            <w:right w:val="none" w:sz="0" w:space="0" w:color="auto"/>
          </w:divBdr>
        </w:div>
        <w:div w:id="1326013662">
          <w:marLeft w:val="0"/>
          <w:marRight w:val="0"/>
          <w:marTop w:val="0"/>
          <w:marBottom w:val="0"/>
          <w:divBdr>
            <w:top w:val="none" w:sz="0" w:space="0" w:color="auto"/>
            <w:left w:val="none" w:sz="0" w:space="0" w:color="auto"/>
            <w:bottom w:val="none" w:sz="0" w:space="0" w:color="auto"/>
            <w:right w:val="none" w:sz="0" w:space="0" w:color="auto"/>
          </w:divBdr>
        </w:div>
        <w:div w:id="1344623127">
          <w:marLeft w:val="0"/>
          <w:marRight w:val="0"/>
          <w:marTop w:val="0"/>
          <w:marBottom w:val="0"/>
          <w:divBdr>
            <w:top w:val="none" w:sz="0" w:space="0" w:color="auto"/>
            <w:left w:val="none" w:sz="0" w:space="0" w:color="auto"/>
            <w:bottom w:val="none" w:sz="0" w:space="0" w:color="auto"/>
            <w:right w:val="none" w:sz="0" w:space="0" w:color="auto"/>
          </w:divBdr>
        </w:div>
        <w:div w:id="1351031807">
          <w:marLeft w:val="0"/>
          <w:marRight w:val="0"/>
          <w:marTop w:val="0"/>
          <w:marBottom w:val="0"/>
          <w:divBdr>
            <w:top w:val="none" w:sz="0" w:space="0" w:color="auto"/>
            <w:left w:val="none" w:sz="0" w:space="0" w:color="auto"/>
            <w:bottom w:val="none" w:sz="0" w:space="0" w:color="auto"/>
            <w:right w:val="none" w:sz="0" w:space="0" w:color="auto"/>
          </w:divBdr>
        </w:div>
        <w:div w:id="1367104036">
          <w:marLeft w:val="0"/>
          <w:marRight w:val="0"/>
          <w:marTop w:val="0"/>
          <w:marBottom w:val="0"/>
          <w:divBdr>
            <w:top w:val="none" w:sz="0" w:space="0" w:color="auto"/>
            <w:left w:val="none" w:sz="0" w:space="0" w:color="auto"/>
            <w:bottom w:val="none" w:sz="0" w:space="0" w:color="auto"/>
            <w:right w:val="none" w:sz="0" w:space="0" w:color="auto"/>
          </w:divBdr>
        </w:div>
        <w:div w:id="1380864318">
          <w:marLeft w:val="0"/>
          <w:marRight w:val="0"/>
          <w:marTop w:val="0"/>
          <w:marBottom w:val="0"/>
          <w:divBdr>
            <w:top w:val="none" w:sz="0" w:space="0" w:color="auto"/>
            <w:left w:val="none" w:sz="0" w:space="0" w:color="auto"/>
            <w:bottom w:val="none" w:sz="0" w:space="0" w:color="auto"/>
            <w:right w:val="none" w:sz="0" w:space="0" w:color="auto"/>
          </w:divBdr>
        </w:div>
        <w:div w:id="1430269393">
          <w:marLeft w:val="0"/>
          <w:marRight w:val="0"/>
          <w:marTop w:val="0"/>
          <w:marBottom w:val="0"/>
          <w:divBdr>
            <w:top w:val="none" w:sz="0" w:space="0" w:color="auto"/>
            <w:left w:val="none" w:sz="0" w:space="0" w:color="auto"/>
            <w:bottom w:val="none" w:sz="0" w:space="0" w:color="auto"/>
            <w:right w:val="none" w:sz="0" w:space="0" w:color="auto"/>
          </w:divBdr>
        </w:div>
        <w:div w:id="1498612629">
          <w:marLeft w:val="0"/>
          <w:marRight w:val="0"/>
          <w:marTop w:val="0"/>
          <w:marBottom w:val="0"/>
          <w:divBdr>
            <w:top w:val="none" w:sz="0" w:space="0" w:color="auto"/>
            <w:left w:val="none" w:sz="0" w:space="0" w:color="auto"/>
            <w:bottom w:val="none" w:sz="0" w:space="0" w:color="auto"/>
            <w:right w:val="none" w:sz="0" w:space="0" w:color="auto"/>
          </w:divBdr>
        </w:div>
        <w:div w:id="1502156077">
          <w:marLeft w:val="0"/>
          <w:marRight w:val="0"/>
          <w:marTop w:val="0"/>
          <w:marBottom w:val="0"/>
          <w:divBdr>
            <w:top w:val="none" w:sz="0" w:space="0" w:color="auto"/>
            <w:left w:val="none" w:sz="0" w:space="0" w:color="auto"/>
            <w:bottom w:val="none" w:sz="0" w:space="0" w:color="auto"/>
            <w:right w:val="none" w:sz="0" w:space="0" w:color="auto"/>
          </w:divBdr>
        </w:div>
        <w:div w:id="1526361056">
          <w:marLeft w:val="0"/>
          <w:marRight w:val="0"/>
          <w:marTop w:val="0"/>
          <w:marBottom w:val="0"/>
          <w:divBdr>
            <w:top w:val="none" w:sz="0" w:space="0" w:color="auto"/>
            <w:left w:val="none" w:sz="0" w:space="0" w:color="auto"/>
            <w:bottom w:val="none" w:sz="0" w:space="0" w:color="auto"/>
            <w:right w:val="none" w:sz="0" w:space="0" w:color="auto"/>
          </w:divBdr>
        </w:div>
        <w:div w:id="1546019938">
          <w:marLeft w:val="0"/>
          <w:marRight w:val="0"/>
          <w:marTop w:val="0"/>
          <w:marBottom w:val="0"/>
          <w:divBdr>
            <w:top w:val="none" w:sz="0" w:space="0" w:color="auto"/>
            <w:left w:val="none" w:sz="0" w:space="0" w:color="auto"/>
            <w:bottom w:val="none" w:sz="0" w:space="0" w:color="auto"/>
            <w:right w:val="none" w:sz="0" w:space="0" w:color="auto"/>
          </w:divBdr>
        </w:div>
        <w:div w:id="1549611463">
          <w:marLeft w:val="0"/>
          <w:marRight w:val="0"/>
          <w:marTop w:val="0"/>
          <w:marBottom w:val="0"/>
          <w:divBdr>
            <w:top w:val="none" w:sz="0" w:space="0" w:color="auto"/>
            <w:left w:val="none" w:sz="0" w:space="0" w:color="auto"/>
            <w:bottom w:val="none" w:sz="0" w:space="0" w:color="auto"/>
            <w:right w:val="none" w:sz="0" w:space="0" w:color="auto"/>
          </w:divBdr>
        </w:div>
        <w:div w:id="1603605090">
          <w:marLeft w:val="0"/>
          <w:marRight w:val="0"/>
          <w:marTop w:val="0"/>
          <w:marBottom w:val="0"/>
          <w:divBdr>
            <w:top w:val="none" w:sz="0" w:space="0" w:color="auto"/>
            <w:left w:val="none" w:sz="0" w:space="0" w:color="auto"/>
            <w:bottom w:val="none" w:sz="0" w:space="0" w:color="auto"/>
            <w:right w:val="none" w:sz="0" w:space="0" w:color="auto"/>
          </w:divBdr>
        </w:div>
        <w:div w:id="1640108054">
          <w:marLeft w:val="0"/>
          <w:marRight w:val="0"/>
          <w:marTop w:val="0"/>
          <w:marBottom w:val="0"/>
          <w:divBdr>
            <w:top w:val="none" w:sz="0" w:space="0" w:color="auto"/>
            <w:left w:val="none" w:sz="0" w:space="0" w:color="auto"/>
            <w:bottom w:val="none" w:sz="0" w:space="0" w:color="auto"/>
            <w:right w:val="none" w:sz="0" w:space="0" w:color="auto"/>
          </w:divBdr>
        </w:div>
        <w:div w:id="1677806378">
          <w:marLeft w:val="0"/>
          <w:marRight w:val="0"/>
          <w:marTop w:val="0"/>
          <w:marBottom w:val="0"/>
          <w:divBdr>
            <w:top w:val="none" w:sz="0" w:space="0" w:color="auto"/>
            <w:left w:val="none" w:sz="0" w:space="0" w:color="auto"/>
            <w:bottom w:val="none" w:sz="0" w:space="0" w:color="auto"/>
            <w:right w:val="none" w:sz="0" w:space="0" w:color="auto"/>
          </w:divBdr>
        </w:div>
        <w:div w:id="1916937286">
          <w:marLeft w:val="0"/>
          <w:marRight w:val="0"/>
          <w:marTop w:val="0"/>
          <w:marBottom w:val="0"/>
          <w:divBdr>
            <w:top w:val="none" w:sz="0" w:space="0" w:color="auto"/>
            <w:left w:val="none" w:sz="0" w:space="0" w:color="auto"/>
            <w:bottom w:val="none" w:sz="0" w:space="0" w:color="auto"/>
            <w:right w:val="none" w:sz="0" w:space="0" w:color="auto"/>
          </w:divBdr>
        </w:div>
        <w:div w:id="2042586997">
          <w:marLeft w:val="0"/>
          <w:marRight w:val="0"/>
          <w:marTop w:val="0"/>
          <w:marBottom w:val="0"/>
          <w:divBdr>
            <w:top w:val="none" w:sz="0" w:space="0" w:color="auto"/>
            <w:left w:val="none" w:sz="0" w:space="0" w:color="auto"/>
            <w:bottom w:val="none" w:sz="0" w:space="0" w:color="auto"/>
            <w:right w:val="none" w:sz="0" w:space="0" w:color="auto"/>
          </w:divBdr>
        </w:div>
      </w:divsChild>
    </w:div>
    <w:div w:id="1493452253">
      <w:bodyDiv w:val="1"/>
      <w:marLeft w:val="0"/>
      <w:marRight w:val="0"/>
      <w:marTop w:val="0"/>
      <w:marBottom w:val="0"/>
      <w:divBdr>
        <w:top w:val="none" w:sz="0" w:space="0" w:color="auto"/>
        <w:left w:val="none" w:sz="0" w:space="0" w:color="auto"/>
        <w:bottom w:val="none" w:sz="0" w:space="0" w:color="auto"/>
        <w:right w:val="none" w:sz="0" w:space="0" w:color="auto"/>
      </w:divBdr>
    </w:div>
    <w:div w:id="1508640506">
      <w:bodyDiv w:val="1"/>
      <w:marLeft w:val="0"/>
      <w:marRight w:val="0"/>
      <w:marTop w:val="0"/>
      <w:marBottom w:val="0"/>
      <w:divBdr>
        <w:top w:val="none" w:sz="0" w:space="0" w:color="auto"/>
        <w:left w:val="none" w:sz="0" w:space="0" w:color="auto"/>
        <w:bottom w:val="none" w:sz="0" w:space="0" w:color="auto"/>
        <w:right w:val="none" w:sz="0" w:space="0" w:color="auto"/>
      </w:divBdr>
    </w:div>
    <w:div w:id="1594974109">
      <w:bodyDiv w:val="1"/>
      <w:marLeft w:val="0"/>
      <w:marRight w:val="0"/>
      <w:marTop w:val="0"/>
      <w:marBottom w:val="0"/>
      <w:divBdr>
        <w:top w:val="none" w:sz="0" w:space="0" w:color="auto"/>
        <w:left w:val="none" w:sz="0" w:space="0" w:color="auto"/>
        <w:bottom w:val="none" w:sz="0" w:space="0" w:color="auto"/>
        <w:right w:val="none" w:sz="0" w:space="0" w:color="auto"/>
      </w:divBdr>
    </w:div>
    <w:div w:id="1716735167">
      <w:bodyDiv w:val="1"/>
      <w:marLeft w:val="0"/>
      <w:marRight w:val="0"/>
      <w:marTop w:val="0"/>
      <w:marBottom w:val="0"/>
      <w:divBdr>
        <w:top w:val="none" w:sz="0" w:space="0" w:color="auto"/>
        <w:left w:val="none" w:sz="0" w:space="0" w:color="auto"/>
        <w:bottom w:val="none" w:sz="0" w:space="0" w:color="auto"/>
        <w:right w:val="none" w:sz="0" w:space="0" w:color="auto"/>
      </w:divBdr>
    </w:div>
    <w:div w:id="213860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A45A86-B89F-4A75-8EB6-EA9B98D55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4</Pages>
  <Words>1349</Words>
  <Characters>7033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STATE OF CALIFORNIA – STATE AND CONSUMER SERVICES AGENCY</vt:lpstr>
    </vt:vector>
  </TitlesOfParts>
  <Company>Telecommunications Division, DGS, State of CA</Company>
  <LinksUpToDate>false</LinksUpToDate>
  <CharactersWithSpaces>8366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CALIFORNIA – STATE AND CONSUMER SERVICES AGENCY</dc:title>
  <dc:subject/>
  <dc:creator>Stephanie Davis</dc:creator>
  <cp:keywords/>
  <cp:lastModifiedBy>Flanagan, Klara@DGS</cp:lastModifiedBy>
  <cp:revision>5</cp:revision>
  <cp:lastPrinted>2019-08-06T16:42:00Z</cp:lastPrinted>
  <dcterms:created xsi:type="dcterms:W3CDTF">2020-08-13T21:38:00Z</dcterms:created>
  <dcterms:modified xsi:type="dcterms:W3CDTF">2020-08-13T21:56:00Z</dcterms:modified>
</cp:coreProperties>
</file>