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587B" w14:textId="2B82A718" w:rsidR="00EA55B4" w:rsidRPr="00046209" w:rsidRDefault="003841FA" w:rsidP="00EA55B4">
      <w:pPr>
        <w:pStyle w:val="Heading1"/>
        <w:spacing w:before="0" w:after="0"/>
        <w:jc w:val="center"/>
      </w:pPr>
      <w:r w:rsidRPr="00046209">
        <w:t>2</w:t>
      </w:r>
      <w:r w:rsidRPr="00046209">
        <w:rPr>
          <w:vertAlign w:val="superscript"/>
        </w:rPr>
        <w:t>nd</w:t>
      </w:r>
      <w:r w:rsidRPr="00046209">
        <w:t xml:space="preserve"> 45</w:t>
      </w:r>
      <w:r w:rsidR="00767766" w:rsidRPr="00046209">
        <w:t>-DAY EXPRESS TERMS</w:t>
      </w:r>
      <w:r w:rsidR="00EC1406" w:rsidRPr="00046209">
        <w:t xml:space="preserve"> AND RATIONALE</w:t>
      </w:r>
      <w:r w:rsidR="00767766" w:rsidRPr="00046209">
        <w:br/>
        <w:t>FOR PROPOSED BUILDING STANDARDS</w:t>
      </w:r>
      <w:r w:rsidR="00767766" w:rsidRPr="00046209">
        <w:br/>
        <w:t xml:space="preserve">OF THE </w:t>
      </w:r>
      <w:r w:rsidRPr="00046209">
        <w:t>DIVISION OF THE STATE ARCHITECT</w:t>
      </w:r>
      <w:r w:rsidR="00767766" w:rsidRPr="00046209">
        <w:br/>
        <w:t xml:space="preserve">REGARDING THE </w:t>
      </w:r>
      <w:r w:rsidRPr="00046209">
        <w:t>2019 CALIFORNIA BUILDING CODE</w:t>
      </w:r>
      <w:r w:rsidR="00767766" w:rsidRPr="00046209">
        <w:t>,</w:t>
      </w:r>
    </w:p>
    <w:p w14:paraId="21B144CC" w14:textId="529525C8" w:rsidR="00767766" w:rsidRPr="00046209" w:rsidRDefault="00767766" w:rsidP="0092735E">
      <w:pPr>
        <w:pStyle w:val="Heading1"/>
        <w:spacing w:before="0"/>
        <w:jc w:val="center"/>
      </w:pPr>
      <w:r w:rsidRPr="00046209">
        <w:t xml:space="preserve">CALIFORNIA CODE OF REGULATIONS, TITLE 24, PART </w:t>
      </w:r>
      <w:r w:rsidR="003841FA" w:rsidRPr="00046209">
        <w:t>2</w:t>
      </w:r>
    </w:p>
    <w:p w14:paraId="28A8FEFB" w14:textId="218BE367" w:rsidR="00767766" w:rsidRPr="00046209" w:rsidRDefault="00767766" w:rsidP="0092735E">
      <w:pPr>
        <w:pStyle w:val="Heading1"/>
        <w:spacing w:after="120"/>
        <w:jc w:val="center"/>
        <w:rPr>
          <w:szCs w:val="24"/>
        </w:rPr>
      </w:pPr>
      <w:r w:rsidRPr="00046209">
        <w:rPr>
          <w:szCs w:val="24"/>
        </w:rPr>
        <w:t>(</w:t>
      </w:r>
      <w:r w:rsidR="003841FA" w:rsidRPr="00046209">
        <w:rPr>
          <w:szCs w:val="24"/>
        </w:rPr>
        <w:t>DSA-AC 01-19</w:t>
      </w:r>
      <w:r w:rsidRPr="00046209">
        <w:rPr>
          <w:szCs w:val="24"/>
        </w:rPr>
        <w:t>)</w:t>
      </w:r>
    </w:p>
    <w:p w14:paraId="2FAD06D1" w14:textId="77777777" w:rsidR="00E633F4" w:rsidRDefault="00E633F4" w:rsidP="00E633F4">
      <w:pPr>
        <w:pBdr>
          <w:bottom w:val="single" w:sz="6" w:space="1" w:color="auto"/>
        </w:pBdr>
        <w:rPr>
          <w:rFonts w:ascii="Arial" w:hAnsi="Arial" w:cs="Arial"/>
          <w:szCs w:val="24"/>
        </w:rPr>
      </w:pPr>
    </w:p>
    <w:p w14:paraId="1BEB4A1B" w14:textId="77777777" w:rsidR="00E633F4" w:rsidRPr="00441D68" w:rsidRDefault="00E633F4" w:rsidP="00E633F4">
      <w:pPr>
        <w:rPr>
          <w:rFonts w:ascii="Arial" w:hAnsi="Arial" w:cs="Arial"/>
          <w:szCs w:val="24"/>
        </w:rPr>
      </w:pPr>
      <w:r w:rsidRPr="00441D68">
        <w:rPr>
          <w:rFonts w:ascii="Arial" w:hAnsi="Arial" w:cs="Arial"/>
          <w:szCs w:val="24"/>
        </w:rPr>
        <w:t>If using assistive technology, please adjust your settings to recognize underline, strikeout, italics and ellipsis.</w:t>
      </w:r>
    </w:p>
    <w:p w14:paraId="2C86C0E8" w14:textId="77777777" w:rsidR="00E633F4" w:rsidRPr="00B52ABE" w:rsidRDefault="00E633F4" w:rsidP="00E633F4">
      <w:pPr>
        <w:pStyle w:val="Heading1"/>
        <w:rPr>
          <w:rFonts w:cs="Arial"/>
          <w:b w:val="0"/>
          <w:szCs w:val="24"/>
        </w:rPr>
      </w:pPr>
      <w:r w:rsidRPr="00B52ABE">
        <w:rPr>
          <w:rFonts w:cs="Arial"/>
          <w:szCs w:val="24"/>
        </w:rPr>
        <w:t>Legend for Express Terms (Based on model codes—Parts 2, 2.5, 3, 4, 5, 9, 10)</w:t>
      </w:r>
    </w:p>
    <w:p w14:paraId="48A3489E" w14:textId="77777777" w:rsidR="00E633F4" w:rsidRDefault="00E633F4" w:rsidP="00E633F4">
      <w:pPr>
        <w:pStyle w:val="ListParagraph"/>
        <w:numPr>
          <w:ilvl w:val="0"/>
          <w:numId w:val="5"/>
        </w:numPr>
        <w:rPr>
          <w:rFonts w:ascii="Arial" w:hAnsi="Arial" w:cs="Arial"/>
          <w:szCs w:val="24"/>
        </w:rPr>
      </w:pPr>
      <w:r>
        <w:rPr>
          <w:rFonts w:ascii="Arial" w:hAnsi="Arial" w:cs="Arial"/>
          <w:szCs w:val="24"/>
        </w:rPr>
        <w:t>Model Code language appears upright.</w:t>
      </w:r>
    </w:p>
    <w:p w14:paraId="3B25A20D" w14:textId="77777777" w:rsidR="00E633F4" w:rsidRDefault="00E633F4" w:rsidP="00E633F4">
      <w:pPr>
        <w:pStyle w:val="ListParagraph"/>
        <w:numPr>
          <w:ilvl w:val="0"/>
          <w:numId w:val="5"/>
        </w:numPr>
        <w:rPr>
          <w:rFonts w:ascii="Arial" w:hAnsi="Arial" w:cs="Arial"/>
          <w:szCs w:val="24"/>
        </w:rPr>
      </w:pPr>
      <w:r>
        <w:rPr>
          <w:rFonts w:ascii="Arial" w:hAnsi="Arial" w:cs="Arial"/>
          <w:szCs w:val="24"/>
        </w:rPr>
        <w:t xml:space="preserve">Unmodified California 45-day amendments appear in </w:t>
      </w:r>
      <w:r w:rsidRPr="00380762">
        <w:rPr>
          <w:rFonts w:ascii="Arial" w:hAnsi="Arial" w:cs="Arial"/>
          <w:i/>
          <w:szCs w:val="24"/>
          <w:u w:val="single"/>
        </w:rPr>
        <w:t>underline and italic</w:t>
      </w:r>
      <w:r>
        <w:rPr>
          <w:rFonts w:ascii="Arial" w:hAnsi="Arial" w:cs="Arial"/>
          <w:szCs w:val="24"/>
        </w:rPr>
        <w:t xml:space="preserve"> and </w:t>
      </w:r>
      <w:r w:rsidRPr="00A80C7E">
        <w:rPr>
          <w:rFonts w:ascii="Arial" w:hAnsi="Arial" w:cs="Arial"/>
          <w:i/>
          <w:strike/>
          <w:szCs w:val="24"/>
          <w:u w:val="single"/>
        </w:rPr>
        <w:t>strikeout and italic</w:t>
      </w:r>
      <w:r>
        <w:rPr>
          <w:rFonts w:ascii="Arial" w:hAnsi="Arial" w:cs="Arial"/>
          <w:szCs w:val="24"/>
        </w:rPr>
        <w:t>.</w:t>
      </w:r>
    </w:p>
    <w:p w14:paraId="2DC69F98" w14:textId="77777777" w:rsidR="00E633F4" w:rsidRDefault="00E633F4" w:rsidP="00E633F4">
      <w:pPr>
        <w:pStyle w:val="ListParagraph"/>
        <w:numPr>
          <w:ilvl w:val="0"/>
          <w:numId w:val="5"/>
        </w:numPr>
        <w:rPr>
          <w:rFonts w:ascii="Arial" w:hAnsi="Arial" w:cs="Arial"/>
          <w:szCs w:val="24"/>
        </w:rPr>
      </w:pPr>
      <w:r>
        <w:rPr>
          <w:rFonts w:ascii="Arial" w:hAnsi="Arial" w:cs="Arial"/>
          <w:szCs w:val="24"/>
        </w:rPr>
        <w:t>California 2</w:t>
      </w:r>
      <w:r w:rsidRPr="00380762">
        <w:rPr>
          <w:rFonts w:ascii="Arial" w:hAnsi="Arial" w:cs="Arial"/>
          <w:szCs w:val="24"/>
          <w:vertAlign w:val="superscript"/>
        </w:rPr>
        <w:t>nd</w:t>
      </w:r>
      <w:r>
        <w:rPr>
          <w:rFonts w:ascii="Arial" w:hAnsi="Arial" w:cs="Arial"/>
          <w:szCs w:val="24"/>
        </w:rPr>
        <w:t xml:space="preserve"> 45-day amendments appear in </w:t>
      </w:r>
      <w:r w:rsidRPr="00380762">
        <w:rPr>
          <w:rFonts w:ascii="Arial" w:hAnsi="Arial" w:cs="Arial"/>
          <w:i/>
          <w:szCs w:val="24"/>
          <w:u w:val="double"/>
        </w:rPr>
        <w:t>double underline and italic</w:t>
      </w:r>
      <w:r>
        <w:rPr>
          <w:rFonts w:ascii="Arial" w:hAnsi="Arial" w:cs="Arial"/>
          <w:szCs w:val="24"/>
        </w:rPr>
        <w:t xml:space="preserve"> and </w:t>
      </w:r>
      <w:r w:rsidRPr="00380762">
        <w:rPr>
          <w:rFonts w:ascii="Arial" w:hAnsi="Arial" w:cs="Arial"/>
          <w:i/>
          <w:dstrike/>
          <w:szCs w:val="24"/>
        </w:rPr>
        <w:t>double strikethrough and italic</w:t>
      </w:r>
      <w:r>
        <w:rPr>
          <w:rFonts w:ascii="Arial" w:hAnsi="Arial" w:cs="Arial"/>
          <w:szCs w:val="24"/>
        </w:rPr>
        <w:t>.</w:t>
      </w:r>
    </w:p>
    <w:p w14:paraId="37E56003" w14:textId="77777777" w:rsidR="00E633F4" w:rsidRDefault="00E633F4" w:rsidP="00E633F4">
      <w:pPr>
        <w:pStyle w:val="ListParagraph"/>
        <w:numPr>
          <w:ilvl w:val="0"/>
          <w:numId w:val="5"/>
        </w:numPr>
        <w:rPr>
          <w:rFonts w:ascii="Arial" w:hAnsi="Arial" w:cs="Arial"/>
          <w:szCs w:val="24"/>
        </w:rPr>
      </w:pPr>
      <w:r>
        <w:rPr>
          <w:rFonts w:ascii="Arial" w:hAnsi="Arial" w:cs="Arial"/>
          <w:szCs w:val="24"/>
        </w:rPr>
        <w:t>Ellipsis (…) indicate existing text remains unchanged.</w:t>
      </w:r>
    </w:p>
    <w:p w14:paraId="75A12C1A" w14:textId="77777777" w:rsidR="00E633F4" w:rsidRDefault="00E633F4" w:rsidP="00E633F4">
      <w:pPr>
        <w:pStyle w:val="ListParagraph"/>
        <w:numPr>
          <w:ilvl w:val="0"/>
          <w:numId w:val="5"/>
        </w:numPr>
        <w:pBdr>
          <w:bottom w:val="single" w:sz="4" w:space="1" w:color="auto"/>
        </w:pBdr>
        <w:rPr>
          <w:rFonts w:ascii="Arial" w:hAnsi="Arial" w:cs="Arial"/>
          <w:szCs w:val="24"/>
        </w:rPr>
      </w:pPr>
      <w:r w:rsidRPr="008D1720">
        <w:rPr>
          <w:rFonts w:ascii="Arial" w:hAnsi="Arial" w:cs="Arial"/>
          <w:b/>
          <w:szCs w:val="24"/>
        </w:rPr>
        <w:t>Rationale:</w:t>
      </w:r>
      <w:r>
        <w:rPr>
          <w:rFonts w:ascii="Arial" w:hAnsi="Arial" w:cs="Arial"/>
          <w:szCs w:val="24"/>
        </w:rPr>
        <w:t xml:space="preserve"> The justification for the change is shown after each section or series of related changes. </w:t>
      </w:r>
    </w:p>
    <w:p w14:paraId="4325D98E" w14:textId="77777777" w:rsidR="00E633F4" w:rsidRPr="00273D57" w:rsidRDefault="00E633F4" w:rsidP="00E633F4">
      <w:pPr>
        <w:pStyle w:val="ListParagraph"/>
        <w:rPr>
          <w:rFonts w:ascii="Arial" w:hAnsi="Arial" w:cs="Arial"/>
          <w:szCs w:val="24"/>
        </w:rPr>
      </w:pPr>
    </w:p>
    <w:p w14:paraId="7D4E993D" w14:textId="378B1FF9" w:rsidR="00767766" w:rsidRPr="00704C9C" w:rsidRDefault="00E82646" w:rsidP="00D04B58">
      <w:pPr>
        <w:pStyle w:val="Heading1"/>
        <w:spacing w:before="240"/>
        <w:rPr>
          <w:bCs/>
        </w:rPr>
      </w:pPr>
      <w:r w:rsidRPr="00046209">
        <w:t>2</w:t>
      </w:r>
      <w:r w:rsidRPr="00046209">
        <w:rPr>
          <w:vertAlign w:val="superscript"/>
        </w:rPr>
        <w:t>nd</w:t>
      </w:r>
      <w:r w:rsidRPr="00046209">
        <w:t xml:space="preserve"> 4</w:t>
      </w:r>
      <w:r w:rsidR="00776FA8" w:rsidRPr="00046209">
        <w:t>5-DAY</w:t>
      </w:r>
      <w:r w:rsidR="00767766" w:rsidRPr="00046209">
        <w:t xml:space="preserve"> EXPRESS TERMS</w:t>
      </w:r>
    </w:p>
    <w:p w14:paraId="4B59B517" w14:textId="6042042D" w:rsidR="00EA55B4" w:rsidRPr="002D5E4A" w:rsidRDefault="00EA55B4" w:rsidP="00A63EF9">
      <w:pPr>
        <w:pStyle w:val="Heading1"/>
      </w:pPr>
      <w:r w:rsidRPr="00FF21CE">
        <w:t>Item:</w:t>
      </w:r>
      <w:r w:rsidRPr="002D5E4A">
        <w:t xml:space="preserve"> </w:t>
      </w:r>
      <w:r w:rsidR="003841FA">
        <w:t>11B.44</w:t>
      </w:r>
    </w:p>
    <w:p w14:paraId="4B851DFA" w14:textId="50395870" w:rsidR="00EA55B4" w:rsidRPr="002D5E4A" w:rsidRDefault="00EA55B4" w:rsidP="00EA55B4">
      <w:pPr>
        <w:rPr>
          <w:rFonts w:ascii="Arial" w:hAnsi="Arial" w:cs="Arial"/>
        </w:rPr>
      </w:pPr>
      <w:r w:rsidRPr="00FF21CE">
        <w:rPr>
          <w:rFonts w:ascii="Arial" w:hAnsi="Arial" w:cs="Arial"/>
          <w:b/>
        </w:rPr>
        <w:t>Chapter:</w:t>
      </w:r>
      <w:r w:rsidRPr="002D5E4A">
        <w:rPr>
          <w:rFonts w:ascii="Arial" w:hAnsi="Arial" w:cs="Arial"/>
        </w:rPr>
        <w:t xml:space="preserve"> </w:t>
      </w:r>
      <w:r w:rsidR="003841FA">
        <w:rPr>
          <w:rFonts w:ascii="Arial" w:hAnsi="Arial" w:cs="Arial"/>
        </w:rPr>
        <w:t>11B Accessibility to Public Buildings, Public Accommodations, Commercial Buildings and Public Housing</w:t>
      </w:r>
    </w:p>
    <w:p w14:paraId="4CDBEBDE" w14:textId="5E12932F" w:rsidR="00EA55B4" w:rsidRPr="002D5E4A" w:rsidRDefault="00EA55B4" w:rsidP="00EA55B4">
      <w:pPr>
        <w:rPr>
          <w:rFonts w:ascii="Arial" w:hAnsi="Arial" w:cs="Arial"/>
        </w:rPr>
      </w:pPr>
      <w:r w:rsidRPr="00FF21CE">
        <w:rPr>
          <w:rFonts w:ascii="Arial" w:hAnsi="Arial" w:cs="Arial"/>
          <w:b/>
        </w:rPr>
        <w:t>Section:</w:t>
      </w:r>
      <w:r w:rsidRPr="002D5E4A">
        <w:rPr>
          <w:rFonts w:ascii="Arial" w:hAnsi="Arial" w:cs="Arial"/>
        </w:rPr>
        <w:t xml:space="preserve"> </w:t>
      </w:r>
      <w:r w:rsidR="003841FA">
        <w:rPr>
          <w:rFonts w:ascii="Arial" w:hAnsi="Arial" w:cs="Arial"/>
        </w:rPr>
        <w:t>11B-812.7 Electric Vehicle</w:t>
      </w:r>
      <w:r w:rsidR="00616AA1">
        <w:rPr>
          <w:rFonts w:ascii="Arial" w:hAnsi="Arial" w:cs="Arial"/>
        </w:rPr>
        <w:t xml:space="preserve"> Charging Stations, Access Aisle</w:t>
      </w:r>
    </w:p>
    <w:p w14:paraId="23F61AFE" w14:textId="77777777" w:rsidR="00616AA1" w:rsidRDefault="00EA55B4" w:rsidP="00EA55B4">
      <w:pPr>
        <w:rPr>
          <w:rFonts w:ascii="Arial" w:hAnsi="Arial" w:cs="Arial"/>
        </w:rPr>
      </w:pPr>
      <w:r>
        <w:rPr>
          <w:rFonts w:ascii="Arial" w:hAnsi="Arial" w:cs="Arial"/>
          <w:b/>
        </w:rPr>
        <w:t>Express Terms:</w:t>
      </w:r>
      <w:r w:rsidRPr="002D5E4A">
        <w:rPr>
          <w:rFonts w:ascii="Arial" w:hAnsi="Arial" w:cs="Arial"/>
        </w:rPr>
        <w:t xml:space="preserve"> </w:t>
      </w:r>
    </w:p>
    <w:p w14:paraId="4FD3E68A" w14:textId="77777777" w:rsidR="00616AA1" w:rsidRPr="00616AA1" w:rsidRDefault="00616AA1" w:rsidP="00616AA1">
      <w:pPr>
        <w:spacing w:before="120" w:after="120"/>
        <w:jc w:val="center"/>
        <w:rPr>
          <w:rFonts w:ascii="Arial" w:hAnsi="Arial" w:cs="Arial"/>
          <w:b/>
        </w:rPr>
      </w:pPr>
      <w:r w:rsidRPr="00616AA1">
        <w:rPr>
          <w:rFonts w:ascii="Arial" w:hAnsi="Arial" w:cs="Arial"/>
          <w:b/>
          <w:i/>
        </w:rPr>
        <w:t>DIVISION</w:t>
      </w:r>
      <w:r w:rsidRPr="00616AA1">
        <w:rPr>
          <w:rFonts w:ascii="Arial" w:hAnsi="Arial" w:cs="Arial"/>
          <w:b/>
        </w:rPr>
        <w:t xml:space="preserve"> 8: SPECIAL ROOMS, SPACES, AND ELEMENTS</w:t>
      </w:r>
    </w:p>
    <w:p w14:paraId="0F4014B4" w14:textId="77777777" w:rsidR="00616AA1" w:rsidRPr="00616AA1" w:rsidRDefault="00616AA1" w:rsidP="00616AA1">
      <w:pPr>
        <w:spacing w:after="120"/>
        <w:rPr>
          <w:rFonts w:ascii="Arial" w:hAnsi="Arial" w:cs="Arial"/>
          <w:b/>
          <w:i/>
        </w:rPr>
      </w:pPr>
      <w:r w:rsidRPr="00616AA1">
        <w:rPr>
          <w:rFonts w:ascii="Arial" w:hAnsi="Arial" w:cs="Arial"/>
          <w:b/>
          <w:i/>
        </w:rPr>
        <w:t>11B-812 Electric vehicle charging stations</w:t>
      </w:r>
    </w:p>
    <w:p w14:paraId="2866E554" w14:textId="77777777" w:rsidR="00616AA1" w:rsidRPr="00616AA1" w:rsidRDefault="00616AA1" w:rsidP="00616AA1">
      <w:pPr>
        <w:spacing w:after="120"/>
        <w:rPr>
          <w:rFonts w:ascii="Arial" w:hAnsi="Arial" w:cs="Arial"/>
          <w:i/>
        </w:rPr>
      </w:pPr>
      <w:r w:rsidRPr="00616AA1">
        <w:rPr>
          <w:rFonts w:ascii="Arial" w:hAnsi="Arial" w:cs="Arial"/>
          <w:i/>
        </w:rPr>
        <w:t>…</w:t>
      </w:r>
    </w:p>
    <w:p w14:paraId="0E789A3D" w14:textId="77777777" w:rsidR="00616AA1" w:rsidRPr="00616AA1" w:rsidRDefault="00616AA1" w:rsidP="00616AA1">
      <w:pPr>
        <w:spacing w:after="120"/>
        <w:rPr>
          <w:rFonts w:ascii="Arial" w:hAnsi="Arial" w:cs="Arial"/>
          <w:i/>
        </w:rPr>
      </w:pPr>
      <w:r w:rsidRPr="00616AA1">
        <w:rPr>
          <w:rFonts w:ascii="Arial" w:hAnsi="Arial" w:cs="Arial"/>
          <w:b/>
          <w:i/>
        </w:rPr>
        <w:t>11B-812.7 Access aisle.</w:t>
      </w:r>
      <w:r w:rsidRPr="00616AA1">
        <w:rPr>
          <w:rFonts w:ascii="Arial" w:hAnsi="Arial" w:cs="Arial"/>
          <w:i/>
        </w:rPr>
        <w:t xml:space="preserve"> Access aisles shall adjoin an accessible route. Two vehicle spaces </w:t>
      </w:r>
      <w:r w:rsidRPr="00616AA1">
        <w:rPr>
          <w:rFonts w:ascii="Arial" w:hAnsi="Arial" w:cs="Arial"/>
          <w:i/>
          <w:u w:val="single"/>
        </w:rPr>
        <w:t>or one parking space and one electric vehicle charging space</w:t>
      </w:r>
      <w:r w:rsidRPr="00616AA1">
        <w:rPr>
          <w:rFonts w:ascii="Arial" w:hAnsi="Arial" w:cs="Arial"/>
          <w:i/>
        </w:rPr>
        <w:t xml:space="preserve"> shall be permitted to share a common access aisle. Access aisles shall be 60 inches (1524 mm) wide minimum and shall extend the full required length of the vehicle spaces they serve.</w:t>
      </w:r>
    </w:p>
    <w:p w14:paraId="05456FAA" w14:textId="77777777" w:rsidR="00616AA1" w:rsidRPr="00616AA1" w:rsidRDefault="00616AA1" w:rsidP="00616AA1">
      <w:pPr>
        <w:spacing w:after="120"/>
        <w:ind w:left="360"/>
        <w:rPr>
          <w:rFonts w:ascii="Arial" w:hAnsi="Arial" w:cs="Arial"/>
          <w:i/>
        </w:rPr>
      </w:pPr>
      <w:r w:rsidRPr="00616AA1">
        <w:rPr>
          <w:rFonts w:ascii="Arial" w:hAnsi="Arial" w:cs="Arial"/>
          <w:b/>
          <w:i/>
        </w:rPr>
        <w:t>11B-812.7.1 Location.</w:t>
      </w:r>
      <w:r w:rsidRPr="00616AA1">
        <w:rPr>
          <w:rFonts w:ascii="Arial" w:hAnsi="Arial" w:cs="Arial"/>
          <w:i/>
        </w:rPr>
        <w:t xml:space="preserve"> Access aisles at vehicle spaces shall not overlap the vehicular way and may be placed on either side of the vehicle space they serve except for van accessible spaces which shall have access aisles located on the passenger side of the vehicle spaces.</w:t>
      </w:r>
    </w:p>
    <w:p w14:paraId="44B46091" w14:textId="53D97E0F" w:rsidR="00616AA1" w:rsidRPr="00616AA1" w:rsidRDefault="00616AA1" w:rsidP="00616AA1">
      <w:pPr>
        <w:spacing w:after="120"/>
        <w:ind w:left="720"/>
        <w:rPr>
          <w:rFonts w:ascii="Arial" w:hAnsi="Arial" w:cs="Arial"/>
          <w:i/>
          <w:u w:val="double"/>
        </w:rPr>
      </w:pPr>
      <w:r w:rsidRPr="00616AA1">
        <w:rPr>
          <w:rFonts w:ascii="Arial" w:hAnsi="Arial" w:cs="Arial"/>
          <w:b/>
          <w:i/>
          <w:u w:val="double"/>
        </w:rPr>
        <w:t>Exception:</w:t>
      </w:r>
      <w:r w:rsidRPr="00616AA1">
        <w:rPr>
          <w:rFonts w:ascii="Arial" w:hAnsi="Arial" w:cs="Arial"/>
          <w:i/>
        </w:rPr>
        <w:t xml:space="preserve"> </w:t>
      </w:r>
      <w:r w:rsidRPr="00616AA1">
        <w:rPr>
          <w:rFonts w:ascii="Arial" w:hAnsi="Arial" w:cs="Arial"/>
          <w:i/>
          <w:u w:val="double"/>
        </w:rPr>
        <w:t>Where four or fewer total EVCS are provided within a facility, the access aisle for non-angled van accessible spaces may be located on either the driver or passenger side of the vehicle space.</w:t>
      </w:r>
    </w:p>
    <w:p w14:paraId="43C1DE04" w14:textId="28B862D5" w:rsidR="00616AA1" w:rsidRPr="00616AA1" w:rsidRDefault="00616AA1" w:rsidP="00616AA1">
      <w:pPr>
        <w:spacing w:after="120"/>
        <w:ind w:left="360"/>
        <w:rPr>
          <w:rFonts w:ascii="Arial" w:hAnsi="Arial" w:cs="Arial"/>
          <w:i/>
        </w:rPr>
      </w:pPr>
      <w:r w:rsidRPr="00616AA1">
        <w:rPr>
          <w:rFonts w:ascii="Arial" w:hAnsi="Arial" w:cs="Arial"/>
          <w:b/>
          <w:i/>
        </w:rPr>
        <w:t>11B-812.7.2 Marking.</w:t>
      </w:r>
      <w:r w:rsidRPr="00616AA1">
        <w:rPr>
          <w:rFonts w:ascii="Arial" w:hAnsi="Arial" w:cs="Arial"/>
          <w:i/>
        </w:rPr>
        <w:t xml:space="preserve"> </w:t>
      </w:r>
      <w:bookmarkStart w:id="0" w:name="_GoBack"/>
      <w:bookmarkEnd w:id="0"/>
      <w:r w:rsidRPr="00616AA1">
        <w:rPr>
          <w:rFonts w:ascii="Arial" w:hAnsi="Arial" w:cs="Arial"/>
          <w:i/>
        </w:rPr>
        <w:t xml:space="preserve">Access aisles at vehicle spaces shall be marked with a painted borderline around their perimeter. The area within the borderlines shall be marked with hatched lines a maximum of 36 inches (914 mm) on center. The color of the borderlines, hatched lines, and letters shall contrast with that of the surface of the access aisle. The blue color required for identification of access aisles for </w:t>
      </w:r>
      <w:r w:rsidRPr="00616AA1">
        <w:rPr>
          <w:rFonts w:ascii="Arial" w:hAnsi="Arial" w:cs="Arial"/>
          <w:i/>
        </w:rPr>
        <w:lastRenderedPageBreak/>
        <w:t>accessible parking shall not be used. Access aisle markings may extend beyond the minimum required length.</w:t>
      </w:r>
    </w:p>
    <w:p w14:paraId="2BF47AA4" w14:textId="7F6F20B5" w:rsidR="00EA55B4" w:rsidRPr="00616AA1" w:rsidRDefault="00616AA1" w:rsidP="00616AA1">
      <w:pPr>
        <w:spacing w:after="120"/>
        <w:ind w:left="720"/>
        <w:rPr>
          <w:rFonts w:ascii="Arial" w:hAnsi="Arial" w:cs="Arial"/>
          <w:i/>
          <w:u w:val="single"/>
        </w:rPr>
      </w:pPr>
      <w:r w:rsidRPr="00616AA1">
        <w:rPr>
          <w:rFonts w:ascii="Arial" w:hAnsi="Arial" w:cs="Arial"/>
          <w:b/>
          <w:i/>
          <w:u w:val="single"/>
        </w:rPr>
        <w:t>Exception:</w:t>
      </w:r>
      <w:r w:rsidRPr="00616AA1">
        <w:rPr>
          <w:rFonts w:ascii="Arial" w:hAnsi="Arial" w:cs="Arial"/>
          <w:i/>
        </w:rPr>
        <w:t xml:space="preserve"> </w:t>
      </w:r>
      <w:r w:rsidRPr="00616AA1">
        <w:rPr>
          <w:rFonts w:ascii="Arial" w:hAnsi="Arial" w:cs="Arial"/>
          <w:i/>
          <w:u w:val="single"/>
        </w:rPr>
        <w:t>Where one parking space and one electric vehicle charging space share an access aisle, access aisle marking shall comply with Section 11B-502.3.3 and shall not be required to comply with Section 11B-812.7.2.</w:t>
      </w:r>
    </w:p>
    <w:p w14:paraId="2B243662" w14:textId="59B91A91" w:rsidR="00B84E89" w:rsidRDefault="002367DC" w:rsidP="00023B9A">
      <w:pPr>
        <w:spacing w:before="120"/>
      </w:pPr>
      <w:r w:rsidRPr="00023B9A">
        <w:rPr>
          <w:b/>
        </w:rPr>
        <w:t>Rationale:</w:t>
      </w:r>
      <w:r w:rsidR="002D5E4A" w:rsidRPr="00023B9A">
        <w:t xml:space="preserve"> </w:t>
      </w:r>
      <w:r w:rsidR="006E167F">
        <w:t>Public comments received during the 45-day comment period indicate the proposed requirements for electric vehicle charging station</w:t>
      </w:r>
      <w:r w:rsidR="00B84E89">
        <w:t xml:space="preserve"> (EVCS)</w:t>
      </w:r>
      <w:r w:rsidR="006E167F">
        <w:t xml:space="preserve"> facilities with different charging levels and/or different connector types would be economically infeasible in smaller installations. In response, DSA proposes to amend its propos</w:t>
      </w:r>
      <w:r w:rsidR="00B84E89">
        <w:t>al</w:t>
      </w:r>
      <w:r w:rsidR="006E167F">
        <w:t xml:space="preserve"> to allow access aisles</w:t>
      </w:r>
      <w:r w:rsidR="00B84E89">
        <w:t xml:space="preserve"> to be located on either side of</w:t>
      </w:r>
      <w:r w:rsidR="006E167F">
        <w:t xml:space="preserve"> non-angled van accessible spaces </w:t>
      </w:r>
      <w:r w:rsidR="00B84E89">
        <w:t>located in smaller facilities with four or fewer total EVCS.</w:t>
      </w:r>
      <w:r w:rsidR="00704063">
        <w:t xml:space="preserve"> This amendment will allow two accessible EVCS spaces to more readily share a single access aisle and will accommodate charging ports in a greater variety of electric vehicles. Shared access aisles allow a more economical EVCS facility installation by requiring less total area.</w:t>
      </w:r>
    </w:p>
    <w:p w14:paraId="00B06F57" w14:textId="55BDC0E0" w:rsidR="002367DC" w:rsidRPr="00023B9A" w:rsidRDefault="00B84E89" w:rsidP="00023B9A">
      <w:pPr>
        <w:spacing w:before="120"/>
      </w:pPr>
      <w:r>
        <w:t xml:space="preserve">California Building Code technical provisions for EVCS incorporate many requirements from the </w:t>
      </w:r>
      <w:r w:rsidRPr="00B84E89">
        <w:rPr>
          <w:i/>
        </w:rPr>
        <w:t>2010 ADA Standards for Accessible Design</w:t>
      </w:r>
      <w:r>
        <w:t xml:space="preserve"> </w:t>
      </w:r>
      <w:r w:rsidR="00704063">
        <w:t xml:space="preserve">applicable to </w:t>
      </w:r>
      <w:r>
        <w:t xml:space="preserve">parking. The location </w:t>
      </w:r>
      <w:r w:rsidR="00704063">
        <w:t xml:space="preserve">of EVCS access aisles on either side of </w:t>
      </w:r>
      <w:r>
        <w:t xml:space="preserve">non-angled van accessible </w:t>
      </w:r>
      <w:r w:rsidR="00704063">
        <w:t>spaces in smaller facilities</w:t>
      </w:r>
      <w:r>
        <w:t xml:space="preserve"> exceeds the minimum requirements of the comparable </w:t>
      </w:r>
      <w:r w:rsidR="00704063">
        <w:t>federal parking requirements.</w:t>
      </w:r>
    </w:p>
    <w:p w14:paraId="63A3FF48" w14:textId="33B9EF4A" w:rsidR="00767766" w:rsidRPr="002D5E4A" w:rsidRDefault="00767766" w:rsidP="0037506B">
      <w:pPr>
        <w:spacing w:before="240"/>
        <w:rPr>
          <w:rFonts w:ascii="Arial" w:hAnsi="Arial" w:cs="Arial"/>
        </w:rPr>
      </w:pPr>
      <w:r w:rsidRPr="0037506B">
        <w:rPr>
          <w:b/>
        </w:rPr>
        <w:t>Notation:</w:t>
      </w:r>
    </w:p>
    <w:p w14:paraId="25855F16" w14:textId="5AD10880" w:rsidR="00767766" w:rsidRPr="00767766" w:rsidRDefault="00767766" w:rsidP="00767766">
      <w:pPr>
        <w:spacing w:before="120"/>
        <w:rPr>
          <w:rFonts w:ascii="Arial" w:hAnsi="Arial" w:cs="Arial"/>
        </w:rPr>
      </w:pPr>
      <w:r w:rsidRPr="00767766">
        <w:rPr>
          <w:rFonts w:ascii="Arial" w:hAnsi="Arial" w:cs="Arial"/>
        </w:rPr>
        <w:t xml:space="preserve">Authority: </w:t>
      </w:r>
      <w:r w:rsidR="00F05834">
        <w:rPr>
          <w:rFonts w:ascii="Arial" w:hAnsi="Arial" w:cs="Arial"/>
        </w:rPr>
        <w:t>Government Code Section 4450</w:t>
      </w:r>
    </w:p>
    <w:p w14:paraId="089D9CC5" w14:textId="0FCFCAD3" w:rsidR="00767766" w:rsidRPr="00767766" w:rsidRDefault="00767766" w:rsidP="00767766">
      <w:pPr>
        <w:spacing w:before="120"/>
        <w:rPr>
          <w:rFonts w:ascii="Arial" w:hAnsi="Arial" w:cs="Arial"/>
        </w:rPr>
      </w:pPr>
      <w:r w:rsidRPr="00767766">
        <w:rPr>
          <w:rFonts w:ascii="Arial" w:hAnsi="Arial" w:cs="Arial"/>
        </w:rPr>
        <w:t xml:space="preserve">Reference(s): </w:t>
      </w:r>
      <w:r w:rsidR="00F05834" w:rsidRPr="00F05834">
        <w:rPr>
          <w:rFonts w:ascii="Arial" w:hAnsi="Arial" w:cs="Arial"/>
        </w:rPr>
        <w:t>Government Code Sections 4450 through 4461, and 14679; Health and Safety Code Section 18949.1 and Vehicle Code Section 22511.8.</w:t>
      </w:r>
    </w:p>
    <w:sectPr w:rsidR="00767766" w:rsidRPr="00767766"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0C8FB" w14:textId="77777777" w:rsidR="00995899" w:rsidRDefault="00995899">
      <w:r>
        <w:separator/>
      </w:r>
    </w:p>
  </w:endnote>
  <w:endnote w:type="continuationSeparator" w:id="0">
    <w:p w14:paraId="2ED12334" w14:textId="77777777" w:rsidR="00995899" w:rsidRDefault="009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23DCFB4B" w:rsidR="001A4A03" w:rsidRDefault="001A4A03" w:rsidP="007C04EF">
    <w:pPr>
      <w:pStyle w:val="Footer"/>
      <w:tabs>
        <w:tab w:val="clear" w:pos="4320"/>
        <w:tab w:val="clear" w:pos="8640"/>
        <w:tab w:val="right" w:pos="9180"/>
      </w:tabs>
      <w:rPr>
        <w:sz w:val="16"/>
      </w:rPr>
    </w:pPr>
    <w:r>
      <w:rPr>
        <w:sz w:val="16"/>
      </w:rPr>
      <w:t>BSC TP-104 (Rev. 0</w:t>
    </w:r>
    <w:r w:rsidR="00EA55B4">
      <w:rPr>
        <w:sz w:val="16"/>
      </w:rPr>
      <w:t>5</w:t>
    </w:r>
    <w:r>
      <w:rPr>
        <w:sz w:val="16"/>
      </w:rPr>
      <w:t>/</w:t>
    </w:r>
    <w:r w:rsidR="001D6710">
      <w:rPr>
        <w:sz w:val="16"/>
      </w:rPr>
      <w:t>20</w:t>
    </w:r>
    <w:r w:rsidRPr="004C48A0">
      <w:rPr>
        <w:sz w:val="16"/>
      </w:rPr>
      <w:t>)</w:t>
    </w:r>
    <w:r w:rsidR="008753DB">
      <w:rPr>
        <w:sz w:val="16"/>
      </w:rPr>
      <w:t xml:space="preserve"> 2</w:t>
    </w:r>
    <w:r w:rsidR="008753DB" w:rsidRPr="008753DB">
      <w:rPr>
        <w:sz w:val="16"/>
        <w:vertAlign w:val="superscript"/>
      </w:rPr>
      <w:t>nd</w:t>
    </w:r>
    <w:r w:rsidR="008753DB">
      <w:rPr>
        <w:sz w:val="16"/>
      </w:rPr>
      <w:t xml:space="preserve"> 4</w:t>
    </w:r>
    <w:r>
      <w:rPr>
        <w:sz w:val="16"/>
      </w:rPr>
      <w:t>5-D</w:t>
    </w:r>
    <w:r w:rsidR="00E82646">
      <w:rPr>
        <w:sz w:val="16"/>
      </w:rPr>
      <w:t>ay Express Terms</w:t>
    </w:r>
    <w:r w:rsidR="00E82646">
      <w:rPr>
        <w:sz w:val="16"/>
      </w:rPr>
      <w:tab/>
      <w:t>April 22, 2020</w:t>
    </w:r>
  </w:p>
  <w:p w14:paraId="723451C6" w14:textId="6FF9A679" w:rsidR="001A4A03" w:rsidRPr="004C48A0" w:rsidRDefault="00E82646"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DSA-AC 01/19 – Pt 2 11B – 2019 Intervening Code Cycle</w:t>
    </w:r>
    <w:r w:rsidR="001A4A03" w:rsidRPr="004C48A0">
      <w:rPr>
        <w:rFonts w:ascii="Arial" w:hAnsi="Arial"/>
        <w:sz w:val="16"/>
        <w:szCs w:val="16"/>
      </w:rPr>
      <w:tab/>
    </w:r>
    <w:r w:rsidR="001A4A03">
      <w:rPr>
        <w:rStyle w:val="PageNumber"/>
        <w:rFonts w:ascii="Arial" w:hAnsi="Arial" w:cs="Arial"/>
        <w:sz w:val="16"/>
      </w:rPr>
      <w:t xml:space="preserve">Page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PAGE </w:instrText>
    </w:r>
    <w:r w:rsidR="001A4A03" w:rsidRPr="00B1767F">
      <w:rPr>
        <w:rStyle w:val="PageNumber"/>
        <w:rFonts w:ascii="Arial" w:hAnsi="Arial" w:cs="Arial"/>
        <w:sz w:val="16"/>
      </w:rPr>
      <w:fldChar w:fldCharType="separate"/>
    </w:r>
    <w:r w:rsidR="008753DB">
      <w:rPr>
        <w:rStyle w:val="PageNumber"/>
        <w:rFonts w:ascii="Arial" w:hAnsi="Arial" w:cs="Arial"/>
        <w:noProof/>
        <w:sz w:val="16"/>
      </w:rPr>
      <w:t>2</w:t>
    </w:r>
    <w:r w:rsidR="001A4A03" w:rsidRPr="00B1767F">
      <w:rPr>
        <w:rStyle w:val="PageNumber"/>
        <w:rFonts w:ascii="Arial" w:hAnsi="Arial" w:cs="Arial"/>
        <w:sz w:val="16"/>
      </w:rPr>
      <w:fldChar w:fldCharType="end"/>
    </w:r>
    <w:r w:rsidR="001A4A03" w:rsidRPr="00B1767F">
      <w:rPr>
        <w:rStyle w:val="PageNumber"/>
        <w:rFonts w:ascii="Arial" w:hAnsi="Arial" w:cs="Arial"/>
        <w:sz w:val="16"/>
      </w:rPr>
      <w:t xml:space="preserve"> of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NUMPAGES </w:instrText>
    </w:r>
    <w:r w:rsidR="001A4A03" w:rsidRPr="00B1767F">
      <w:rPr>
        <w:rStyle w:val="PageNumber"/>
        <w:rFonts w:ascii="Arial" w:hAnsi="Arial" w:cs="Arial"/>
        <w:sz w:val="16"/>
      </w:rPr>
      <w:fldChar w:fldCharType="separate"/>
    </w:r>
    <w:r w:rsidR="008753DB">
      <w:rPr>
        <w:rStyle w:val="PageNumber"/>
        <w:rFonts w:ascii="Arial" w:hAnsi="Arial" w:cs="Arial"/>
        <w:noProof/>
        <w:sz w:val="16"/>
      </w:rPr>
      <w:t>2</w:t>
    </w:r>
    <w:r w:rsidR="001A4A03" w:rsidRPr="00B1767F">
      <w:rPr>
        <w:rStyle w:val="PageNumber"/>
        <w:rFonts w:ascii="Arial" w:hAnsi="Arial" w:cs="Arial"/>
        <w:sz w:val="16"/>
      </w:rPr>
      <w:fldChar w:fldCharType="end"/>
    </w:r>
    <w:r w:rsidR="001A4A03" w:rsidRPr="004C48A0">
      <w:rPr>
        <w:rFonts w:ascii="Arial" w:hAnsi="Arial"/>
        <w:sz w:val="16"/>
        <w:szCs w:val="16"/>
      </w:rPr>
      <w:tab/>
    </w:r>
    <w:r w:rsidR="00046209">
      <w:rPr>
        <w:rFonts w:ascii="Arial" w:hAnsi="Arial"/>
        <w:sz w:val="16"/>
        <w:szCs w:val="16"/>
      </w:rPr>
      <w:t xml:space="preserve">DSA-AC Part2 - </w:t>
    </w:r>
    <w:r w:rsidRPr="00046209">
      <w:rPr>
        <w:rFonts w:ascii="Arial" w:hAnsi="Arial"/>
        <w:sz w:val="16"/>
        <w:szCs w:val="16"/>
      </w:rPr>
      <w:t>2</w:t>
    </w:r>
    <w:r w:rsidRPr="00046209">
      <w:rPr>
        <w:rFonts w:ascii="Arial" w:hAnsi="Arial"/>
        <w:sz w:val="16"/>
        <w:szCs w:val="16"/>
        <w:vertAlign w:val="superscript"/>
      </w:rPr>
      <w:t>nd</w:t>
    </w:r>
    <w:r w:rsidRPr="00046209">
      <w:rPr>
        <w:rFonts w:ascii="Arial" w:hAnsi="Arial"/>
        <w:sz w:val="16"/>
        <w:szCs w:val="16"/>
      </w:rPr>
      <w:t xml:space="preserve"> 45-Day ET</w:t>
    </w:r>
  </w:p>
  <w:p w14:paraId="5C321276" w14:textId="5001F572" w:rsidR="001A4A03" w:rsidRDefault="00E82646" w:rsidP="007C04EF">
    <w:pPr>
      <w:pStyle w:val="Footer"/>
      <w:tabs>
        <w:tab w:val="clear" w:pos="4320"/>
        <w:tab w:val="clear" w:pos="8640"/>
        <w:tab w:val="center" w:pos="4896"/>
        <w:tab w:val="right" w:pos="9180"/>
      </w:tabs>
      <w:rPr>
        <w:sz w:val="16"/>
      </w:rPr>
    </w:pPr>
    <w:r>
      <w:rPr>
        <w:sz w:val="16"/>
      </w:rPr>
      <w:t>DGS-D</w:t>
    </w:r>
    <w:r w:rsidR="008753DB">
      <w:rPr>
        <w:sz w:val="16"/>
      </w:rPr>
      <w:t xml:space="preserve">ivision of the </w:t>
    </w:r>
    <w:r>
      <w:rPr>
        <w:sz w:val="16"/>
      </w:rPr>
      <w:t>S</w:t>
    </w:r>
    <w:r w:rsidR="008753DB">
      <w:rPr>
        <w:sz w:val="16"/>
      </w:rPr>
      <w:t>tate Architect-</w:t>
    </w:r>
    <w:r>
      <w:rPr>
        <w:sz w:val="16"/>
      </w:rPr>
      <w:t xml:space="preserve"> Access Compliance</w:t>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DD25" w14:textId="77777777" w:rsidR="00995899" w:rsidRDefault="00995899">
      <w:r>
        <w:separator/>
      </w:r>
    </w:p>
  </w:footnote>
  <w:footnote w:type="continuationSeparator" w:id="0">
    <w:p w14:paraId="05018B41" w14:textId="77777777" w:rsidR="00995899" w:rsidRDefault="009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D074FF"/>
    <w:multiLevelType w:val="hybridMultilevel"/>
    <w:tmpl w:val="937EC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46209"/>
    <w:rsid w:val="000C5682"/>
    <w:rsid w:val="000E24B4"/>
    <w:rsid w:val="000F2EEE"/>
    <w:rsid w:val="00123F82"/>
    <w:rsid w:val="001362F4"/>
    <w:rsid w:val="00175449"/>
    <w:rsid w:val="001A4A03"/>
    <w:rsid w:val="001D5566"/>
    <w:rsid w:val="001D6710"/>
    <w:rsid w:val="001E635B"/>
    <w:rsid w:val="002335C3"/>
    <w:rsid w:val="00234A84"/>
    <w:rsid w:val="00235B37"/>
    <w:rsid w:val="002367DC"/>
    <w:rsid w:val="002C0FFA"/>
    <w:rsid w:val="002D3F86"/>
    <w:rsid w:val="002D5E4A"/>
    <w:rsid w:val="002E06D2"/>
    <w:rsid w:val="002E47F2"/>
    <w:rsid w:val="0030639B"/>
    <w:rsid w:val="00330645"/>
    <w:rsid w:val="0037506B"/>
    <w:rsid w:val="003841FA"/>
    <w:rsid w:val="003942B6"/>
    <w:rsid w:val="003D46A3"/>
    <w:rsid w:val="004B2AB9"/>
    <w:rsid w:val="004B48D5"/>
    <w:rsid w:val="004C48A0"/>
    <w:rsid w:val="00563190"/>
    <w:rsid w:val="005B5184"/>
    <w:rsid w:val="005E162F"/>
    <w:rsid w:val="005F1F14"/>
    <w:rsid w:val="0061175B"/>
    <w:rsid w:val="006169B9"/>
    <w:rsid w:val="00616AA1"/>
    <w:rsid w:val="00631F79"/>
    <w:rsid w:val="006721FC"/>
    <w:rsid w:val="00675E1D"/>
    <w:rsid w:val="006B747C"/>
    <w:rsid w:val="006E167F"/>
    <w:rsid w:val="00704063"/>
    <w:rsid w:val="00767766"/>
    <w:rsid w:val="00776FA8"/>
    <w:rsid w:val="007915D5"/>
    <w:rsid w:val="007C04EF"/>
    <w:rsid w:val="007C4832"/>
    <w:rsid w:val="0081299A"/>
    <w:rsid w:val="00874876"/>
    <w:rsid w:val="008753DB"/>
    <w:rsid w:val="008A2AC5"/>
    <w:rsid w:val="008E2CED"/>
    <w:rsid w:val="008E36A8"/>
    <w:rsid w:val="00923E68"/>
    <w:rsid w:val="00926738"/>
    <w:rsid w:val="0092735E"/>
    <w:rsid w:val="00933897"/>
    <w:rsid w:val="009462E9"/>
    <w:rsid w:val="00995899"/>
    <w:rsid w:val="009A693A"/>
    <w:rsid w:val="009E0E79"/>
    <w:rsid w:val="009E6B12"/>
    <w:rsid w:val="00A138AA"/>
    <w:rsid w:val="00A60CA1"/>
    <w:rsid w:val="00A63EF9"/>
    <w:rsid w:val="00A813A1"/>
    <w:rsid w:val="00AC1F10"/>
    <w:rsid w:val="00AF4D10"/>
    <w:rsid w:val="00AF4E96"/>
    <w:rsid w:val="00B12576"/>
    <w:rsid w:val="00B84E89"/>
    <w:rsid w:val="00C36475"/>
    <w:rsid w:val="00C44C36"/>
    <w:rsid w:val="00C6643B"/>
    <w:rsid w:val="00C67B72"/>
    <w:rsid w:val="00CB69CE"/>
    <w:rsid w:val="00CF3372"/>
    <w:rsid w:val="00D04B58"/>
    <w:rsid w:val="00D13D82"/>
    <w:rsid w:val="00D30882"/>
    <w:rsid w:val="00D67CC8"/>
    <w:rsid w:val="00D91AE2"/>
    <w:rsid w:val="00DB2E73"/>
    <w:rsid w:val="00DD1947"/>
    <w:rsid w:val="00E016BA"/>
    <w:rsid w:val="00E22041"/>
    <w:rsid w:val="00E3628E"/>
    <w:rsid w:val="00E3790F"/>
    <w:rsid w:val="00E45D23"/>
    <w:rsid w:val="00E53D35"/>
    <w:rsid w:val="00E633F4"/>
    <w:rsid w:val="00E82646"/>
    <w:rsid w:val="00EA55B4"/>
    <w:rsid w:val="00EC1406"/>
    <w:rsid w:val="00ED27E1"/>
    <w:rsid w:val="00EF26E2"/>
    <w:rsid w:val="00F05834"/>
    <w:rsid w:val="00F152F2"/>
    <w:rsid w:val="00F17139"/>
    <w:rsid w:val="00F550EC"/>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62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E633F4"/>
    <w:pPr>
      <w:ind w:left="720"/>
      <w:contextualSpacing/>
    </w:pPr>
    <w:rPr>
      <w:rFonts w:eastAsia="Batang"/>
    </w:rPr>
  </w:style>
  <w:style w:type="character" w:customStyle="1" w:styleId="Heading1Char">
    <w:name w:val="Heading 1 Char"/>
    <w:basedOn w:val="DefaultParagraphFont"/>
    <w:link w:val="Heading1"/>
    <w:rsid w:val="00E633F4"/>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6D1C-A631-4435-B031-553C7733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DSA-AC Part 2 - 2nd 45-Day ET</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 Part 2 - 2nd 45-Day ET</dc:title>
  <dc:creator/>
  <cp:lastModifiedBy/>
  <cp:revision>1</cp:revision>
  <dcterms:created xsi:type="dcterms:W3CDTF">2020-05-22T21:36:00Z</dcterms:created>
  <dcterms:modified xsi:type="dcterms:W3CDTF">2020-05-29T18:48:00Z</dcterms:modified>
</cp:coreProperties>
</file>