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45" w:rsidRPr="001A3587" w:rsidRDefault="00A26171" w:rsidP="001A3587">
      <w:pPr>
        <w:pStyle w:val="Heading1"/>
      </w:pPr>
      <w:r w:rsidRPr="001A3587">
        <w:t>APPENDIX A4 RESIDENTIAL VOLUNTARY MEASURES</w:t>
      </w:r>
    </w:p>
    <w:p w:rsidR="00A13C45" w:rsidRDefault="00A26171">
      <w:pPr>
        <w:spacing w:before="2"/>
        <w:ind w:left="3016"/>
        <w:rPr>
          <w:b/>
          <w:i/>
          <w:sz w:val="20"/>
        </w:rPr>
      </w:pPr>
      <w:r>
        <w:rPr>
          <w:b/>
          <w:i/>
          <w:sz w:val="20"/>
        </w:rPr>
        <w:t>Division A4.2 – ENERGY EFFICIENCY</w:t>
      </w:r>
      <w:bookmarkStart w:id="0" w:name="_GoBack"/>
      <w:bookmarkEnd w:id="0"/>
    </w:p>
    <w:p w:rsidR="00A13C45" w:rsidRDefault="00A13C45">
      <w:pPr>
        <w:pStyle w:val="BodyText"/>
        <w:spacing w:before="3"/>
        <w:rPr>
          <w:b/>
          <w:i/>
        </w:rPr>
      </w:pPr>
    </w:p>
    <w:p w:rsidR="00A13C45" w:rsidRDefault="00A26171" w:rsidP="001A3587">
      <w:pPr>
        <w:pStyle w:val="Heading2"/>
      </w:pPr>
      <w:r>
        <w:t>SECTION A4.201 GENERAL</w:t>
      </w:r>
    </w:p>
    <w:p w:rsidR="00A13C45" w:rsidRDefault="00A26171" w:rsidP="001A3587">
      <w:pPr>
        <w:pStyle w:val="Heading2"/>
      </w:pPr>
      <w:r>
        <w:t>A4.201.1 Scope.</w:t>
      </w:r>
    </w:p>
    <w:p w:rsidR="00A13C45" w:rsidRDefault="00A13C45">
      <w:pPr>
        <w:pStyle w:val="BodyText"/>
        <w:spacing w:before="3"/>
        <w:rPr>
          <w:b/>
        </w:rPr>
      </w:pPr>
    </w:p>
    <w:p w:rsidR="00A13C45" w:rsidRDefault="00A26171">
      <w:pPr>
        <w:pStyle w:val="BodyText"/>
        <w:spacing w:line="276" w:lineRule="auto"/>
        <w:ind w:left="120" w:right="117"/>
      </w:pPr>
      <w:r>
        <w:t>For the purposes of mandatory energy efficiency standards in this code, the California Energy Commission will continue to adopt mandatory standards. It is the intent of these voluntary provisions to encourage local jurisdictions through codification to ach</w:t>
      </w:r>
      <w:r>
        <w:t>ieve exemplary performance in the area of building energy efficiency. Local jurisdictions adopting these voluntary provisions as mandatory local energy efficiency standards shall submit the required application and receive the required approval of the Cali</w:t>
      </w:r>
      <w:r>
        <w:t xml:space="preserve">fornia Energy Commission in compliance with </w:t>
      </w:r>
      <w:r>
        <w:rPr>
          <w:strike/>
        </w:rPr>
        <w:t xml:space="preserve">Chapter 10, Section 106 of the </w:t>
      </w:r>
      <w:r>
        <w:rPr>
          <w:i/>
          <w:strike/>
        </w:rPr>
        <w:t>California Administrative</w:t>
      </w:r>
      <w:r>
        <w:rPr>
          <w:i/>
        </w:rPr>
        <w:t xml:space="preserve"> </w:t>
      </w:r>
      <w:r>
        <w:rPr>
          <w:i/>
          <w:strike/>
        </w:rPr>
        <w:t>Code</w:t>
      </w:r>
      <w:r>
        <w:rPr>
          <w:strike/>
        </w:rPr>
        <w:t>,</w:t>
      </w:r>
      <w:r>
        <w:rPr>
          <w:u w:val="single"/>
        </w:rPr>
        <w:t>Title 24, Part 1, Section 10-106</w:t>
      </w:r>
      <w:r>
        <w:t xml:space="preserve"> prior to enforcement. Once approval is granted by the Energy Commission, local jurisdictions shall file an ordinance </w:t>
      </w:r>
      <w:r>
        <w:t>expressly marking the local modification along with findings and receive the required acceptance from the California Building Standards Commission in compliance with Section 101.7 of this code, prior to enforcement. (</w:t>
      </w:r>
      <w:r>
        <w:rPr>
          <w:u w:val="single"/>
        </w:rPr>
        <w:t>Title 24, Part 1, Section 10-106</w:t>
      </w:r>
      <w:r>
        <w:rPr>
          <w:strike/>
        </w:rPr>
        <w:t>Chapter</w:t>
      </w:r>
      <w:r>
        <w:t xml:space="preserve"> </w:t>
      </w:r>
      <w:r>
        <w:rPr>
          <w:strike/>
        </w:rPr>
        <w:t xml:space="preserve">10, Section 106 of the </w:t>
      </w:r>
      <w:r>
        <w:rPr>
          <w:i/>
          <w:strike/>
        </w:rPr>
        <w:t>California Administrative Code</w:t>
      </w:r>
      <w:r>
        <w:rPr>
          <w:i/>
        </w:rPr>
        <w:t xml:space="preserve"> </w:t>
      </w:r>
      <w:r>
        <w:t xml:space="preserve">is available at </w:t>
      </w:r>
      <w:hyperlink r:id="rId7">
        <w:r w:rsidR="00D1593E">
          <w:rPr>
            <w:color w:val="0000FF"/>
            <w:u w:val="single" w:color="0000FF"/>
          </w:rPr>
          <w:t>Energy Efficiency Standards http://www.energy.ca.gov/title24/2019standards/</w:t>
        </w:r>
      </w:hyperlink>
      <w:r>
        <w:t>)</w:t>
      </w:r>
    </w:p>
    <w:p w:rsidR="00A13C45" w:rsidRDefault="00A13C45">
      <w:pPr>
        <w:spacing w:line="276" w:lineRule="auto"/>
        <w:sectPr w:rsidR="00A13C45">
          <w:type w:val="continuous"/>
          <w:pgSz w:w="12240" w:h="15840"/>
          <w:pgMar w:top="1360" w:right="1320" w:bottom="280" w:left="1320" w:header="720" w:footer="720" w:gutter="0"/>
          <w:cols w:space="720"/>
        </w:sectPr>
      </w:pPr>
    </w:p>
    <w:p w:rsidR="00A13C45" w:rsidRDefault="00A13C45">
      <w:pPr>
        <w:pStyle w:val="BodyText"/>
        <w:spacing w:before="5"/>
        <w:rPr>
          <w:sz w:val="12"/>
        </w:rPr>
      </w:pPr>
    </w:p>
    <w:p w:rsidR="001A3587" w:rsidRPr="00615394" w:rsidRDefault="001A3587" w:rsidP="001A3587">
      <w:pPr>
        <w:spacing w:before="12"/>
        <w:ind w:left="3984"/>
        <w:rPr>
          <w:b/>
          <w:sz w:val="20"/>
        </w:rPr>
      </w:pPr>
      <w:r w:rsidRPr="00615394">
        <w:rPr>
          <w:b/>
          <w:sz w:val="20"/>
        </w:rPr>
        <w:t>SECTION A4.</w:t>
      </w:r>
      <w:r w:rsidRPr="00615394">
        <w:fldChar w:fldCharType="begin"/>
      </w:r>
      <w:r w:rsidRPr="00615394">
        <w:rPr>
          <w:b/>
          <w:sz w:val="20"/>
        </w:rPr>
        <w:instrText xml:space="preserve"> PAGE </w:instrText>
      </w:r>
      <w:r w:rsidRPr="00615394">
        <w:fldChar w:fldCharType="separate"/>
      </w:r>
      <w:r>
        <w:rPr>
          <w:b/>
          <w:noProof/>
          <w:sz w:val="20"/>
        </w:rPr>
        <w:t>202</w:t>
      </w:r>
      <w:r w:rsidRPr="00615394">
        <w:fldChar w:fldCharType="end"/>
      </w:r>
    </w:p>
    <w:p w:rsidR="00A13C45" w:rsidRDefault="00A26171">
      <w:pPr>
        <w:pStyle w:val="Heading2"/>
        <w:ind w:left="3984" w:right="3985"/>
      </w:pPr>
      <w:r>
        <w:t>DEFINITIONS</w:t>
      </w:r>
    </w:p>
    <w:p w:rsidR="00A13C45" w:rsidRDefault="00A13C45">
      <w:pPr>
        <w:pStyle w:val="BodyText"/>
        <w:spacing w:before="3"/>
        <w:rPr>
          <w:b/>
        </w:rPr>
      </w:pPr>
    </w:p>
    <w:p w:rsidR="00A13C45" w:rsidRDefault="00A26171">
      <w:pPr>
        <w:spacing w:before="1"/>
        <w:ind w:left="119"/>
        <w:rPr>
          <w:sz w:val="20"/>
        </w:rPr>
      </w:pPr>
      <w:r>
        <w:rPr>
          <w:b/>
          <w:sz w:val="20"/>
        </w:rPr>
        <w:t xml:space="preserve">A4.202.1 Definitions. </w:t>
      </w:r>
      <w:r>
        <w:rPr>
          <w:sz w:val="20"/>
        </w:rPr>
        <w:t>The following terms a</w:t>
      </w:r>
      <w:r>
        <w:rPr>
          <w:sz w:val="20"/>
        </w:rPr>
        <w:t>re defined in Chapter 2.</w:t>
      </w:r>
    </w:p>
    <w:p w:rsidR="00A13C45" w:rsidRDefault="00A13C45">
      <w:pPr>
        <w:pStyle w:val="BodyText"/>
        <w:spacing w:before="5"/>
      </w:pPr>
    </w:p>
    <w:p w:rsidR="00A13C45" w:rsidRDefault="00A26171">
      <w:pPr>
        <w:pStyle w:val="Heading2"/>
        <w:spacing w:before="0"/>
      </w:pPr>
      <w:r>
        <w:t>ENERGY BUDGET.</w:t>
      </w:r>
    </w:p>
    <w:p w:rsidR="00A13C45" w:rsidRDefault="00A13C45">
      <w:pPr>
        <w:pStyle w:val="BodyText"/>
        <w:spacing w:before="3"/>
        <w:rPr>
          <w:b/>
        </w:rPr>
      </w:pPr>
    </w:p>
    <w:p w:rsidR="00A13C45" w:rsidRDefault="00A26171">
      <w:pPr>
        <w:spacing w:before="1"/>
        <w:ind w:left="120"/>
        <w:rPr>
          <w:b/>
          <w:sz w:val="20"/>
        </w:rPr>
      </w:pPr>
      <w:r>
        <w:rPr>
          <w:b/>
          <w:sz w:val="20"/>
        </w:rPr>
        <w:t>ENERGY DESIGN RATING.</w:t>
      </w:r>
      <w:r>
        <w:rPr>
          <w:b/>
          <w:sz w:val="20"/>
          <w:u w:val="thick"/>
        </w:rPr>
        <w:t xml:space="preserve"> (EDR).</w:t>
      </w:r>
    </w:p>
    <w:p w:rsidR="00A13C45" w:rsidRDefault="00A13C45">
      <w:pPr>
        <w:pStyle w:val="BodyText"/>
        <w:spacing w:before="4"/>
        <w:rPr>
          <w:b/>
          <w:sz w:val="12"/>
        </w:rPr>
      </w:pPr>
    </w:p>
    <w:p w:rsidR="00A13C45" w:rsidRDefault="00A26171">
      <w:pPr>
        <w:spacing w:before="93"/>
        <w:ind w:left="120"/>
        <w:rPr>
          <w:b/>
          <w:sz w:val="20"/>
        </w:rPr>
      </w:pPr>
      <w:r>
        <w:rPr>
          <w:b/>
          <w:sz w:val="20"/>
          <w:u w:val="thick"/>
        </w:rPr>
        <w:t>ENERGY DESIGN RATING, ENERGY EFFICIENCY</w:t>
      </w:r>
    </w:p>
    <w:p w:rsidR="00A13C45" w:rsidRDefault="00A13C45">
      <w:pPr>
        <w:pStyle w:val="BodyText"/>
        <w:spacing w:before="3"/>
        <w:rPr>
          <w:b/>
          <w:sz w:val="12"/>
        </w:rPr>
      </w:pPr>
    </w:p>
    <w:p w:rsidR="00A13C45" w:rsidRDefault="00A26171">
      <w:pPr>
        <w:spacing w:before="92"/>
        <w:ind w:left="120"/>
        <w:rPr>
          <w:b/>
          <w:sz w:val="20"/>
        </w:rPr>
      </w:pPr>
      <w:r>
        <w:rPr>
          <w:b/>
          <w:sz w:val="20"/>
          <w:u w:val="thick"/>
        </w:rPr>
        <w:t>ENERGY DESIGN RATING, SOLAR ELECTRIC GENERATION AND DEMAND FLEXIBILITY</w:t>
      </w:r>
    </w:p>
    <w:p w:rsidR="00A13C45" w:rsidRDefault="00A13C45">
      <w:pPr>
        <w:pStyle w:val="BodyText"/>
        <w:spacing w:before="5"/>
        <w:rPr>
          <w:b/>
          <w:sz w:val="12"/>
        </w:rPr>
      </w:pPr>
    </w:p>
    <w:p w:rsidR="00A13C45" w:rsidRDefault="00A26171">
      <w:pPr>
        <w:spacing w:before="93"/>
        <w:ind w:left="120"/>
        <w:rPr>
          <w:b/>
          <w:sz w:val="20"/>
        </w:rPr>
      </w:pPr>
      <w:r>
        <w:rPr>
          <w:b/>
          <w:sz w:val="20"/>
          <w:u w:val="thick"/>
        </w:rPr>
        <w:t>ENERGY DESIGN RATING, TOTAL</w:t>
      </w:r>
    </w:p>
    <w:p w:rsidR="00A13C45" w:rsidRDefault="00A13C45">
      <w:pPr>
        <w:pStyle w:val="BodyText"/>
        <w:spacing w:before="2"/>
        <w:rPr>
          <w:b/>
          <w:sz w:val="12"/>
        </w:rPr>
      </w:pPr>
    </w:p>
    <w:p w:rsidR="00A13C45" w:rsidRDefault="00A26171">
      <w:pPr>
        <w:spacing w:before="93"/>
        <w:ind w:left="120"/>
        <w:rPr>
          <w:b/>
          <w:sz w:val="20"/>
        </w:rPr>
      </w:pPr>
      <w:r>
        <w:rPr>
          <w:b/>
          <w:sz w:val="20"/>
        </w:rPr>
        <w:t>TIME DEPENDENT VALUATION (TDV) ENERGY.</w:t>
      </w:r>
    </w:p>
    <w:p w:rsidR="00A13C45" w:rsidRDefault="00A13C45">
      <w:pPr>
        <w:rPr>
          <w:sz w:val="20"/>
        </w:rPr>
        <w:sectPr w:rsidR="00A13C45">
          <w:headerReference w:type="default" r:id="rId8"/>
          <w:pgSz w:w="12240" w:h="15840"/>
          <w:pgMar w:top="1660" w:right="1320" w:bottom="280" w:left="1320" w:header="1447" w:footer="0" w:gutter="0"/>
          <w:pgNumType w:start="202"/>
          <w:cols w:space="720"/>
        </w:sectPr>
      </w:pPr>
    </w:p>
    <w:p w:rsidR="00A13C45" w:rsidRDefault="00A13C45">
      <w:pPr>
        <w:pStyle w:val="BodyText"/>
        <w:spacing w:before="5"/>
        <w:rPr>
          <w:b/>
          <w:sz w:val="12"/>
        </w:rPr>
      </w:pPr>
    </w:p>
    <w:p w:rsidR="00A13C45" w:rsidRDefault="00A26171" w:rsidP="001A3587">
      <w:pPr>
        <w:pStyle w:val="Heading2"/>
      </w:pPr>
      <w:r>
        <w:t>PERFORMANCE APPROACH FOR NEWLY CONSTRUCTED BUILDINGS</w:t>
      </w:r>
    </w:p>
    <w:p w:rsidR="00A13C45" w:rsidRDefault="00A13C45">
      <w:pPr>
        <w:pStyle w:val="BodyText"/>
        <w:spacing w:before="1"/>
        <w:rPr>
          <w:b/>
        </w:rPr>
      </w:pPr>
    </w:p>
    <w:p w:rsidR="00A13C45" w:rsidRDefault="00A26171">
      <w:pPr>
        <w:pStyle w:val="BodyText"/>
        <w:spacing w:line="280" w:lineRule="auto"/>
        <w:ind w:left="119"/>
      </w:pPr>
      <w:r>
        <w:rPr>
          <w:b/>
        </w:rPr>
        <w:t xml:space="preserve">A4.203.1 Energy efficiency. </w:t>
      </w:r>
      <w:r>
        <w:t>Newly constructed low-rise residential buildings shall comply with Sections A4.203.1.1</w:t>
      </w:r>
      <w:r>
        <w:rPr>
          <w:strike/>
        </w:rPr>
        <w:t xml:space="preserve"> and either A4.203.1.2.1,</w:t>
      </w:r>
      <w:r>
        <w:rPr>
          <w:u w:val="single"/>
        </w:rPr>
        <w:t>through</w:t>
      </w:r>
      <w:r>
        <w:t xml:space="preserve"> A4.203.1</w:t>
      </w:r>
      <w:r>
        <w:rPr>
          <w:u w:val="single"/>
        </w:rPr>
        <w:t>.4</w:t>
      </w:r>
      <w:r>
        <w:rPr>
          <w:strike/>
        </w:rPr>
        <w:t>.2.2 or A4.203.1.2.3.</w:t>
      </w:r>
    </w:p>
    <w:p w:rsidR="00A13C45" w:rsidRDefault="00A26171">
      <w:pPr>
        <w:spacing w:before="192" w:line="278" w:lineRule="auto"/>
        <w:ind w:left="120" w:right="334"/>
        <w:rPr>
          <w:sz w:val="20"/>
        </w:rPr>
      </w:pPr>
      <w:r>
        <w:rPr>
          <w:b/>
          <w:sz w:val="20"/>
        </w:rPr>
        <w:t>A4.203.1.1 Tier 1,</w:t>
      </w:r>
      <w:r>
        <w:rPr>
          <w:b/>
          <w:sz w:val="20"/>
          <w:u w:val="thick"/>
        </w:rPr>
        <w:t xml:space="preserve"> and</w:t>
      </w:r>
      <w:r>
        <w:rPr>
          <w:b/>
          <w:sz w:val="20"/>
        </w:rPr>
        <w:t xml:space="preserve"> Tier 2</w:t>
      </w:r>
      <w:r>
        <w:rPr>
          <w:b/>
          <w:strike/>
          <w:sz w:val="20"/>
        </w:rPr>
        <w:t>, and zero net energy design</w:t>
      </w:r>
      <w:r>
        <w:rPr>
          <w:b/>
          <w:sz w:val="20"/>
        </w:rPr>
        <w:t xml:space="preserve"> prerequisites. </w:t>
      </w:r>
      <w:r>
        <w:rPr>
          <w:strike/>
          <w:sz w:val="20"/>
        </w:rPr>
        <w:t>Each of the following</w:t>
      </w:r>
      <w:r>
        <w:rPr>
          <w:sz w:val="20"/>
        </w:rPr>
        <w:t xml:space="preserve"> </w:t>
      </w:r>
      <w:r>
        <w:rPr>
          <w:strike/>
          <w:sz w:val="20"/>
        </w:rPr>
        <w:t>efficienc</w:t>
      </w:r>
      <w:r>
        <w:rPr>
          <w:strike/>
          <w:sz w:val="20"/>
        </w:rPr>
        <w:t>y measures is</w:t>
      </w:r>
      <w:r>
        <w:rPr>
          <w:sz w:val="20"/>
          <w:u w:val="single"/>
        </w:rPr>
        <w:t>A4.203.1.1.1 Energy design ratings AND A4.203.1.1.2 Quality Insulation</w:t>
      </w:r>
      <w:r>
        <w:rPr>
          <w:sz w:val="20"/>
        </w:rPr>
        <w:t xml:space="preserve"> </w:t>
      </w:r>
      <w:r>
        <w:rPr>
          <w:sz w:val="20"/>
          <w:u w:val="single"/>
        </w:rPr>
        <w:t>Installation are</w:t>
      </w:r>
      <w:r>
        <w:rPr>
          <w:sz w:val="20"/>
        </w:rPr>
        <w:t xml:space="preserve"> required for all applicable components of the building project.</w:t>
      </w:r>
    </w:p>
    <w:p w:rsidR="00A13C45" w:rsidRDefault="00A13C45">
      <w:pPr>
        <w:pStyle w:val="BodyText"/>
        <w:spacing w:before="8"/>
        <w:rPr>
          <w:sz w:val="8"/>
        </w:rPr>
      </w:pPr>
    </w:p>
    <w:p w:rsidR="00A13C45" w:rsidRDefault="00A26171">
      <w:pPr>
        <w:spacing w:before="93" w:line="278" w:lineRule="auto"/>
        <w:ind w:left="120" w:right="143"/>
        <w:rPr>
          <w:sz w:val="20"/>
        </w:rPr>
      </w:pPr>
      <w:r>
        <w:rPr>
          <w:b/>
          <w:sz w:val="20"/>
        </w:rPr>
        <w:t xml:space="preserve">A4.203.1.1.1 Energy design </w:t>
      </w:r>
      <w:r>
        <w:rPr>
          <w:b/>
          <w:strike/>
          <w:sz w:val="20"/>
        </w:rPr>
        <w:t xml:space="preserve">rating. </w:t>
      </w:r>
      <w:r>
        <w:rPr>
          <w:strike/>
          <w:sz w:val="20"/>
        </w:rPr>
        <w:t>An energy design rating</w:t>
      </w:r>
      <w:r>
        <w:rPr>
          <w:b/>
          <w:sz w:val="20"/>
          <w:u w:val="thick"/>
        </w:rPr>
        <w:t>ratings: Total Energy Design Rat</w:t>
      </w:r>
      <w:r>
        <w:rPr>
          <w:b/>
          <w:sz w:val="20"/>
          <w:u w:val="thick"/>
        </w:rPr>
        <w:t>ing</w:t>
      </w:r>
      <w:r>
        <w:rPr>
          <w:b/>
          <w:sz w:val="20"/>
        </w:rPr>
        <w:t xml:space="preserve"> </w:t>
      </w:r>
      <w:r>
        <w:rPr>
          <w:b/>
          <w:sz w:val="20"/>
          <w:u w:val="single"/>
        </w:rPr>
        <w:t xml:space="preserve">(Total EDR) and Energy Efficiency Design Rating (Efficiency EDR). </w:t>
      </w:r>
      <w:r>
        <w:rPr>
          <w:sz w:val="20"/>
          <w:u w:val="single"/>
        </w:rPr>
        <w:t>Total EDR and Efficiency EDR</w:t>
      </w:r>
      <w:r>
        <w:rPr>
          <w:sz w:val="20"/>
        </w:rPr>
        <w:t xml:space="preserve"> </w:t>
      </w:r>
      <w:r>
        <w:rPr>
          <w:sz w:val="20"/>
          <w:u w:val="single"/>
        </w:rPr>
        <w:t>ratings</w:t>
      </w:r>
      <w:r>
        <w:rPr>
          <w:sz w:val="20"/>
        </w:rPr>
        <w:t xml:space="preserve"> for the Proposed Design Building shall be computed by Compliance Software certified by the Energy Commission </w:t>
      </w:r>
      <w:r>
        <w:rPr>
          <w:strike/>
          <w:sz w:val="20"/>
        </w:rPr>
        <w:t>and this rating</w:t>
      </w:r>
      <w:r>
        <w:rPr>
          <w:sz w:val="20"/>
          <w:u w:val="single"/>
        </w:rPr>
        <w:t>as described in Title 24, Part 6, Section 100.1 and 150.1(b), and these</w:t>
      </w:r>
      <w:r>
        <w:rPr>
          <w:sz w:val="20"/>
        </w:rPr>
        <w:t xml:space="preserve"> </w:t>
      </w:r>
      <w:r>
        <w:rPr>
          <w:sz w:val="20"/>
          <w:u w:val="single"/>
        </w:rPr>
        <w:t>ratings</w:t>
      </w:r>
      <w:r>
        <w:rPr>
          <w:sz w:val="20"/>
        </w:rPr>
        <w:t xml:space="preserve"> shall be included in the Certificate of Compliance documentation.</w:t>
      </w:r>
    </w:p>
    <w:p w:rsidR="00A13C45" w:rsidRDefault="00A13C45">
      <w:pPr>
        <w:pStyle w:val="BodyText"/>
        <w:spacing w:before="3"/>
        <w:rPr>
          <w:sz w:val="22"/>
        </w:rPr>
      </w:pPr>
    </w:p>
    <w:p w:rsidR="00A13C45" w:rsidRDefault="00A26171">
      <w:pPr>
        <w:pStyle w:val="Heading2"/>
        <w:spacing w:before="93" w:after="3"/>
        <w:ind w:left="2198"/>
        <w:rPr>
          <w:u w:val="thick"/>
        </w:rPr>
      </w:pPr>
      <w:r>
        <w:rPr>
          <w:u w:val="thick"/>
        </w:rPr>
        <w:t>Table A4.203.1.1.1</w:t>
      </w:r>
    </w:p>
    <w:p w:rsidR="004E24FA" w:rsidRDefault="004E24FA" w:rsidP="004E24FA">
      <w:pPr>
        <w:pStyle w:val="Heading2"/>
        <w:spacing w:before="93" w:after="3"/>
        <w:ind w:left="720"/>
      </w:pPr>
      <w:r>
        <w:t>Recommended EDR Targets by Climate Zones</w:t>
      </w:r>
    </w:p>
    <w:tbl>
      <w:tblPr>
        <w:tblStyle w:val="TableGrid"/>
        <w:tblW w:w="0" w:type="auto"/>
        <w:tblLayout w:type="fixed"/>
        <w:tblLook w:val="01E0" w:firstRow="1" w:lastRow="1" w:firstColumn="1" w:lastColumn="1" w:noHBand="0" w:noVBand="0"/>
        <w:tblDescription w:val="table of recommended EDR targets by Climate zones"/>
      </w:tblPr>
      <w:tblGrid>
        <w:gridCol w:w="766"/>
        <w:gridCol w:w="1299"/>
        <w:gridCol w:w="1258"/>
        <w:gridCol w:w="1301"/>
        <w:gridCol w:w="1258"/>
      </w:tblGrid>
      <w:tr w:rsidR="004E24FA" w:rsidTr="009749D5">
        <w:trPr>
          <w:trHeight w:val="313"/>
          <w:tblHeader/>
        </w:trPr>
        <w:tc>
          <w:tcPr>
            <w:tcW w:w="766" w:type="dxa"/>
          </w:tcPr>
          <w:p w:rsidR="004E24FA" w:rsidRDefault="004E24FA" w:rsidP="004E24FA">
            <w:pPr>
              <w:jc w:val="right"/>
              <w:rPr>
                <w:sz w:val="20"/>
                <w:u w:val="single"/>
              </w:rPr>
            </w:pPr>
            <w:r>
              <w:rPr>
                <w:sz w:val="20"/>
                <w:u w:val="single"/>
              </w:rPr>
              <w:t>CZ</w:t>
            </w:r>
          </w:p>
        </w:tc>
        <w:tc>
          <w:tcPr>
            <w:tcW w:w="1299" w:type="dxa"/>
          </w:tcPr>
          <w:p w:rsidR="004E24FA" w:rsidRDefault="004E24FA">
            <w:pPr>
              <w:pStyle w:val="TableParagraph"/>
              <w:spacing w:before="83" w:line="210" w:lineRule="exact"/>
              <w:ind w:left="134" w:right="131"/>
              <w:rPr>
                <w:sz w:val="20"/>
              </w:rPr>
            </w:pPr>
            <w:r>
              <w:rPr>
                <w:sz w:val="20"/>
              </w:rPr>
              <w:t>Tier 1</w:t>
            </w:r>
          </w:p>
          <w:p w:rsidR="004A7BB9" w:rsidRDefault="004A7BB9">
            <w:pPr>
              <w:pStyle w:val="TableParagraph"/>
              <w:spacing w:before="83" w:line="210" w:lineRule="exact"/>
              <w:ind w:left="134" w:right="131"/>
              <w:rPr>
                <w:sz w:val="20"/>
              </w:rPr>
            </w:pPr>
            <w:r>
              <w:rPr>
                <w:sz w:val="20"/>
              </w:rPr>
              <w:t>Mixed Fuel</w:t>
            </w:r>
          </w:p>
        </w:tc>
        <w:tc>
          <w:tcPr>
            <w:tcW w:w="1258" w:type="dxa"/>
            <w:tcBorders>
              <w:right w:val="single" w:sz="4" w:space="0" w:color="auto"/>
            </w:tcBorders>
          </w:tcPr>
          <w:p w:rsidR="004E24FA" w:rsidRDefault="004E24FA">
            <w:pPr>
              <w:pStyle w:val="TableParagraph"/>
              <w:spacing w:before="83" w:line="210" w:lineRule="exact"/>
              <w:ind w:left="137" w:right="120"/>
              <w:rPr>
                <w:sz w:val="20"/>
              </w:rPr>
            </w:pPr>
            <w:r>
              <w:rPr>
                <w:sz w:val="20"/>
              </w:rPr>
              <w:t>Tier 1</w:t>
            </w:r>
          </w:p>
          <w:p w:rsidR="004A7BB9" w:rsidRDefault="004A7BB9">
            <w:pPr>
              <w:pStyle w:val="TableParagraph"/>
              <w:spacing w:before="83" w:line="210" w:lineRule="exact"/>
              <w:ind w:left="137" w:right="120"/>
              <w:rPr>
                <w:sz w:val="20"/>
              </w:rPr>
            </w:pPr>
            <w:r>
              <w:rPr>
                <w:sz w:val="20"/>
              </w:rPr>
              <w:t>All-Electric</w:t>
            </w:r>
          </w:p>
        </w:tc>
        <w:tc>
          <w:tcPr>
            <w:tcW w:w="1301" w:type="dxa"/>
            <w:tcBorders>
              <w:left w:val="single" w:sz="4" w:space="0" w:color="auto"/>
            </w:tcBorders>
          </w:tcPr>
          <w:p w:rsidR="004E24FA" w:rsidRDefault="004E24FA">
            <w:pPr>
              <w:pStyle w:val="TableParagraph"/>
              <w:spacing w:before="83" w:line="210" w:lineRule="exact"/>
              <w:ind w:left="138" w:right="129"/>
              <w:rPr>
                <w:sz w:val="20"/>
              </w:rPr>
            </w:pPr>
            <w:r>
              <w:rPr>
                <w:sz w:val="20"/>
              </w:rPr>
              <w:t>Tier 2</w:t>
            </w:r>
          </w:p>
          <w:p w:rsidR="004A7BB9" w:rsidRDefault="004A7BB9">
            <w:pPr>
              <w:pStyle w:val="TableParagraph"/>
              <w:spacing w:before="83" w:line="210" w:lineRule="exact"/>
              <w:ind w:left="138" w:right="129"/>
              <w:rPr>
                <w:sz w:val="20"/>
              </w:rPr>
            </w:pPr>
            <w:r>
              <w:rPr>
                <w:sz w:val="20"/>
              </w:rPr>
              <w:t>Mixed Fuel</w:t>
            </w:r>
          </w:p>
        </w:tc>
        <w:tc>
          <w:tcPr>
            <w:tcW w:w="1258" w:type="dxa"/>
          </w:tcPr>
          <w:p w:rsidR="004E24FA" w:rsidRDefault="004E24FA">
            <w:pPr>
              <w:pStyle w:val="TableParagraph"/>
              <w:spacing w:before="83" w:line="210" w:lineRule="exact"/>
              <w:ind w:left="136" w:right="120"/>
              <w:rPr>
                <w:sz w:val="20"/>
              </w:rPr>
            </w:pPr>
            <w:r>
              <w:rPr>
                <w:sz w:val="20"/>
              </w:rPr>
              <w:t>Tier 2</w:t>
            </w:r>
          </w:p>
          <w:p w:rsidR="004A7BB9" w:rsidRDefault="004A7BB9">
            <w:pPr>
              <w:pStyle w:val="TableParagraph"/>
              <w:spacing w:before="83" w:line="210" w:lineRule="exact"/>
              <w:ind w:left="136" w:right="120"/>
              <w:rPr>
                <w:sz w:val="20"/>
              </w:rPr>
            </w:pPr>
            <w:r>
              <w:rPr>
                <w:sz w:val="20"/>
              </w:rPr>
              <w:t>All-Electric</w:t>
            </w:r>
          </w:p>
        </w:tc>
      </w:tr>
      <w:tr w:rsidR="00A13C45" w:rsidTr="009A0DFE">
        <w:trPr>
          <w:trHeight w:val="339"/>
        </w:trPr>
        <w:tc>
          <w:tcPr>
            <w:tcW w:w="766" w:type="dxa"/>
          </w:tcPr>
          <w:p w:rsidR="00A13C45" w:rsidRDefault="00A26171">
            <w:pPr>
              <w:pStyle w:val="TableParagraph"/>
              <w:spacing w:before="71"/>
              <w:rPr>
                <w:sz w:val="20"/>
                <w:u w:val="none"/>
              </w:rPr>
            </w:pPr>
            <w:r>
              <w:rPr>
                <w:w w:val="99"/>
                <w:sz w:val="20"/>
              </w:rPr>
              <w:t>1</w:t>
            </w:r>
          </w:p>
        </w:tc>
        <w:tc>
          <w:tcPr>
            <w:tcW w:w="1299" w:type="dxa"/>
          </w:tcPr>
          <w:p w:rsidR="00A13C45" w:rsidRDefault="00A26171">
            <w:pPr>
              <w:pStyle w:val="TableParagraph"/>
              <w:spacing w:before="71"/>
              <w:ind w:left="134" w:right="129"/>
              <w:rPr>
                <w:sz w:val="20"/>
                <w:u w:val="none"/>
              </w:rPr>
            </w:pPr>
            <w:r>
              <w:rPr>
                <w:sz w:val="20"/>
              </w:rPr>
              <w:t>23</w:t>
            </w:r>
          </w:p>
        </w:tc>
        <w:tc>
          <w:tcPr>
            <w:tcW w:w="1258" w:type="dxa"/>
            <w:tcBorders>
              <w:right w:val="single" w:sz="4" w:space="0" w:color="auto"/>
            </w:tcBorders>
          </w:tcPr>
          <w:p w:rsidR="00A13C45" w:rsidRDefault="00A26171">
            <w:pPr>
              <w:pStyle w:val="TableParagraph"/>
              <w:spacing w:before="71"/>
              <w:ind w:left="136" w:right="120"/>
              <w:rPr>
                <w:sz w:val="20"/>
                <w:u w:val="none"/>
              </w:rPr>
            </w:pPr>
            <w:r>
              <w:rPr>
                <w:sz w:val="20"/>
              </w:rPr>
              <w:t>36</w:t>
            </w:r>
          </w:p>
        </w:tc>
        <w:tc>
          <w:tcPr>
            <w:tcW w:w="1301" w:type="dxa"/>
            <w:tcBorders>
              <w:left w:val="single" w:sz="4" w:space="0" w:color="auto"/>
            </w:tcBorders>
          </w:tcPr>
          <w:p w:rsidR="00A13C45" w:rsidRDefault="00A26171">
            <w:pPr>
              <w:pStyle w:val="TableParagraph"/>
              <w:spacing w:before="71"/>
              <w:ind w:left="138" w:right="127"/>
              <w:rPr>
                <w:sz w:val="20"/>
                <w:u w:val="none"/>
              </w:rPr>
            </w:pPr>
            <w:r>
              <w:rPr>
                <w:sz w:val="20"/>
              </w:rPr>
              <w:t>13</w:t>
            </w:r>
          </w:p>
        </w:tc>
        <w:tc>
          <w:tcPr>
            <w:tcW w:w="1258" w:type="dxa"/>
          </w:tcPr>
          <w:p w:rsidR="00A13C45" w:rsidRDefault="00A26171">
            <w:pPr>
              <w:pStyle w:val="TableParagraph"/>
              <w:spacing w:before="71"/>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2</w:t>
            </w:r>
          </w:p>
        </w:tc>
        <w:tc>
          <w:tcPr>
            <w:tcW w:w="1299" w:type="dxa"/>
          </w:tcPr>
          <w:p w:rsidR="00A13C45" w:rsidRDefault="00A26171">
            <w:pPr>
              <w:pStyle w:val="TableParagraph"/>
              <w:ind w:left="134" w:right="129"/>
              <w:rPr>
                <w:sz w:val="20"/>
                <w:u w:val="none"/>
              </w:rPr>
            </w:pPr>
            <w:r>
              <w:rPr>
                <w:sz w:val="20"/>
              </w:rPr>
              <w:t>12</w:t>
            </w:r>
          </w:p>
        </w:tc>
        <w:tc>
          <w:tcPr>
            <w:tcW w:w="1258" w:type="dxa"/>
            <w:tcBorders>
              <w:right w:val="single" w:sz="4" w:space="0" w:color="auto"/>
            </w:tcBorders>
          </w:tcPr>
          <w:p w:rsidR="00A13C45" w:rsidRDefault="00A26171">
            <w:pPr>
              <w:pStyle w:val="TableParagraph"/>
              <w:ind w:left="136" w:right="120"/>
              <w:rPr>
                <w:sz w:val="20"/>
                <w:u w:val="none"/>
              </w:rPr>
            </w:pPr>
            <w:r>
              <w:rPr>
                <w:sz w:val="20"/>
              </w:rPr>
              <w:t>16</w:t>
            </w:r>
          </w:p>
        </w:tc>
        <w:tc>
          <w:tcPr>
            <w:tcW w:w="1301" w:type="dxa"/>
            <w:tcBorders>
              <w:left w:val="single" w:sz="4" w:space="0" w:color="auto"/>
            </w:tcBorders>
          </w:tcPr>
          <w:p w:rsidR="00A13C45" w:rsidRDefault="00A26171">
            <w:pPr>
              <w:pStyle w:val="TableParagraph"/>
              <w:rPr>
                <w:sz w:val="20"/>
                <w:u w:val="none"/>
              </w:rPr>
            </w:pPr>
            <w:r>
              <w:rPr>
                <w:w w:val="99"/>
                <w:sz w:val="20"/>
              </w:rPr>
              <w:t>5</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3</w:t>
            </w:r>
          </w:p>
        </w:tc>
        <w:tc>
          <w:tcPr>
            <w:tcW w:w="1299" w:type="dxa"/>
          </w:tcPr>
          <w:p w:rsidR="00A13C45" w:rsidRDefault="00A26171">
            <w:pPr>
              <w:pStyle w:val="TableParagraph"/>
              <w:ind w:left="134" w:right="129"/>
              <w:rPr>
                <w:sz w:val="20"/>
                <w:u w:val="none"/>
              </w:rPr>
            </w:pPr>
            <w:r>
              <w:rPr>
                <w:sz w:val="20"/>
              </w:rPr>
              <w:t>10</w:t>
            </w:r>
          </w:p>
        </w:tc>
        <w:tc>
          <w:tcPr>
            <w:tcW w:w="1258" w:type="dxa"/>
            <w:tcBorders>
              <w:right w:val="single" w:sz="4" w:space="0" w:color="auto"/>
            </w:tcBorders>
          </w:tcPr>
          <w:p w:rsidR="00A13C45" w:rsidRDefault="00A26171">
            <w:pPr>
              <w:pStyle w:val="TableParagraph"/>
              <w:ind w:left="136" w:right="120"/>
              <w:rPr>
                <w:sz w:val="20"/>
                <w:u w:val="none"/>
              </w:rPr>
            </w:pPr>
            <w:r>
              <w:rPr>
                <w:sz w:val="20"/>
              </w:rPr>
              <w:t>14</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4</w:t>
            </w:r>
          </w:p>
        </w:tc>
        <w:tc>
          <w:tcPr>
            <w:tcW w:w="1299" w:type="dxa"/>
          </w:tcPr>
          <w:p w:rsidR="00A13C45" w:rsidRDefault="00A26171">
            <w:pPr>
              <w:pStyle w:val="TableParagraph"/>
              <w:ind w:left="5"/>
              <w:rPr>
                <w:sz w:val="20"/>
                <w:u w:val="none"/>
              </w:rPr>
            </w:pPr>
            <w:r>
              <w:rPr>
                <w:w w:val="99"/>
                <w:sz w:val="20"/>
              </w:rPr>
              <w:t>8</w:t>
            </w:r>
          </w:p>
        </w:tc>
        <w:tc>
          <w:tcPr>
            <w:tcW w:w="1258" w:type="dxa"/>
            <w:tcBorders>
              <w:right w:val="single" w:sz="4" w:space="0" w:color="auto"/>
            </w:tcBorders>
          </w:tcPr>
          <w:p w:rsidR="00A13C45" w:rsidRDefault="00A26171">
            <w:pPr>
              <w:pStyle w:val="TableParagraph"/>
              <w:ind w:left="136" w:right="120"/>
              <w:rPr>
                <w:sz w:val="20"/>
                <w:u w:val="none"/>
              </w:rPr>
            </w:pPr>
            <w:r>
              <w:rPr>
                <w:sz w:val="20"/>
              </w:rPr>
              <w:t>12</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5</w:t>
            </w:r>
          </w:p>
        </w:tc>
        <w:tc>
          <w:tcPr>
            <w:tcW w:w="1299" w:type="dxa"/>
          </w:tcPr>
          <w:p w:rsidR="00A13C45" w:rsidRDefault="00A26171">
            <w:pPr>
              <w:pStyle w:val="TableParagraph"/>
              <w:ind w:left="134" w:right="129"/>
              <w:rPr>
                <w:sz w:val="20"/>
                <w:u w:val="none"/>
              </w:rPr>
            </w:pPr>
            <w:r>
              <w:rPr>
                <w:sz w:val="20"/>
              </w:rPr>
              <w:t>10</w:t>
            </w:r>
          </w:p>
        </w:tc>
        <w:tc>
          <w:tcPr>
            <w:tcW w:w="1258" w:type="dxa"/>
            <w:tcBorders>
              <w:right w:val="single" w:sz="4" w:space="0" w:color="auto"/>
            </w:tcBorders>
          </w:tcPr>
          <w:p w:rsidR="00A13C45" w:rsidRDefault="00A26171">
            <w:pPr>
              <w:pStyle w:val="TableParagraph"/>
              <w:ind w:left="136" w:right="120"/>
              <w:rPr>
                <w:sz w:val="20"/>
                <w:u w:val="none"/>
              </w:rPr>
            </w:pPr>
            <w:r>
              <w:rPr>
                <w:sz w:val="20"/>
              </w:rPr>
              <w:t>16</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6</w:t>
            </w:r>
          </w:p>
        </w:tc>
        <w:tc>
          <w:tcPr>
            <w:tcW w:w="1299" w:type="dxa"/>
          </w:tcPr>
          <w:p w:rsidR="00A13C45" w:rsidRDefault="00A26171">
            <w:pPr>
              <w:pStyle w:val="TableParagraph"/>
              <w:ind w:left="134" w:right="129"/>
              <w:rPr>
                <w:sz w:val="20"/>
                <w:u w:val="none"/>
              </w:rPr>
            </w:pPr>
            <w:r>
              <w:rPr>
                <w:sz w:val="20"/>
              </w:rPr>
              <w:t>10</w:t>
            </w:r>
          </w:p>
        </w:tc>
        <w:tc>
          <w:tcPr>
            <w:tcW w:w="1258" w:type="dxa"/>
            <w:tcBorders>
              <w:right w:val="single" w:sz="4" w:space="0" w:color="auto"/>
            </w:tcBorders>
          </w:tcPr>
          <w:p w:rsidR="00A13C45" w:rsidRDefault="00A26171">
            <w:pPr>
              <w:pStyle w:val="TableParagraph"/>
              <w:ind w:left="136" w:right="120"/>
              <w:rPr>
                <w:sz w:val="20"/>
                <w:u w:val="none"/>
              </w:rPr>
            </w:pPr>
            <w:r>
              <w:rPr>
                <w:sz w:val="20"/>
              </w:rPr>
              <w:t>12</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7</w:t>
            </w:r>
          </w:p>
        </w:tc>
        <w:tc>
          <w:tcPr>
            <w:tcW w:w="1299" w:type="dxa"/>
          </w:tcPr>
          <w:p w:rsidR="00A13C45" w:rsidRDefault="00A26171">
            <w:pPr>
              <w:pStyle w:val="TableParagraph"/>
              <w:ind w:left="5"/>
              <w:rPr>
                <w:sz w:val="20"/>
                <w:u w:val="none"/>
              </w:rPr>
            </w:pPr>
            <w:r>
              <w:rPr>
                <w:w w:val="99"/>
                <w:sz w:val="20"/>
              </w:rPr>
              <w:t>5</w:t>
            </w:r>
          </w:p>
        </w:tc>
        <w:tc>
          <w:tcPr>
            <w:tcW w:w="1258" w:type="dxa"/>
            <w:tcBorders>
              <w:right w:val="single" w:sz="4" w:space="0" w:color="auto"/>
            </w:tcBorders>
          </w:tcPr>
          <w:p w:rsidR="00A13C45" w:rsidRDefault="00A26171">
            <w:pPr>
              <w:pStyle w:val="TableParagraph"/>
              <w:ind w:left="22"/>
              <w:rPr>
                <w:sz w:val="20"/>
                <w:u w:val="none"/>
              </w:rPr>
            </w:pPr>
            <w:r>
              <w:rPr>
                <w:w w:val="99"/>
                <w:sz w:val="20"/>
              </w:rPr>
              <w:t>7</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8</w:t>
            </w:r>
          </w:p>
        </w:tc>
        <w:tc>
          <w:tcPr>
            <w:tcW w:w="1299" w:type="dxa"/>
          </w:tcPr>
          <w:p w:rsidR="00A13C45" w:rsidRDefault="00A26171">
            <w:pPr>
              <w:pStyle w:val="TableParagraph"/>
              <w:ind w:left="134" w:right="129"/>
              <w:rPr>
                <w:sz w:val="20"/>
                <w:u w:val="none"/>
              </w:rPr>
            </w:pPr>
            <w:r>
              <w:rPr>
                <w:sz w:val="20"/>
              </w:rPr>
              <w:t>10</w:t>
            </w:r>
          </w:p>
        </w:tc>
        <w:tc>
          <w:tcPr>
            <w:tcW w:w="1258" w:type="dxa"/>
            <w:tcBorders>
              <w:right w:val="single" w:sz="4" w:space="0" w:color="auto"/>
            </w:tcBorders>
          </w:tcPr>
          <w:p w:rsidR="00A13C45" w:rsidRDefault="00A26171">
            <w:pPr>
              <w:pStyle w:val="TableParagraph"/>
              <w:ind w:left="136" w:right="120"/>
              <w:rPr>
                <w:sz w:val="20"/>
                <w:u w:val="none"/>
              </w:rPr>
            </w:pPr>
            <w:r>
              <w:rPr>
                <w:sz w:val="20"/>
              </w:rPr>
              <w:t>10</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rPr>
                <w:sz w:val="20"/>
                <w:u w:val="none"/>
              </w:rPr>
            </w:pPr>
            <w:r>
              <w:rPr>
                <w:w w:val="99"/>
                <w:sz w:val="20"/>
              </w:rPr>
              <w:t>9</w:t>
            </w:r>
          </w:p>
        </w:tc>
        <w:tc>
          <w:tcPr>
            <w:tcW w:w="1299" w:type="dxa"/>
          </w:tcPr>
          <w:p w:rsidR="00A13C45" w:rsidRDefault="00A26171">
            <w:pPr>
              <w:pStyle w:val="TableParagraph"/>
              <w:ind w:left="134" w:right="129"/>
              <w:rPr>
                <w:sz w:val="20"/>
                <w:u w:val="none"/>
              </w:rPr>
            </w:pPr>
            <w:r>
              <w:rPr>
                <w:sz w:val="20"/>
              </w:rPr>
              <w:t>13</w:t>
            </w:r>
          </w:p>
        </w:tc>
        <w:tc>
          <w:tcPr>
            <w:tcW w:w="1258" w:type="dxa"/>
            <w:tcBorders>
              <w:right w:val="single" w:sz="4" w:space="0" w:color="auto"/>
            </w:tcBorders>
          </w:tcPr>
          <w:p w:rsidR="00A13C45" w:rsidRDefault="00A26171">
            <w:pPr>
              <w:pStyle w:val="TableParagraph"/>
              <w:ind w:left="136" w:right="120"/>
              <w:rPr>
                <w:sz w:val="20"/>
                <w:u w:val="none"/>
              </w:rPr>
            </w:pPr>
            <w:r>
              <w:rPr>
                <w:sz w:val="20"/>
              </w:rPr>
              <w:t>13</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ind w:left="247" w:right="236"/>
              <w:rPr>
                <w:sz w:val="20"/>
                <w:u w:val="none"/>
              </w:rPr>
            </w:pPr>
            <w:r>
              <w:rPr>
                <w:sz w:val="20"/>
              </w:rPr>
              <w:t>10</w:t>
            </w:r>
          </w:p>
        </w:tc>
        <w:tc>
          <w:tcPr>
            <w:tcW w:w="1299" w:type="dxa"/>
          </w:tcPr>
          <w:p w:rsidR="00A13C45" w:rsidRDefault="00A26171">
            <w:pPr>
              <w:pStyle w:val="TableParagraph"/>
              <w:ind w:left="134" w:right="129"/>
              <w:rPr>
                <w:sz w:val="20"/>
                <w:u w:val="none"/>
              </w:rPr>
            </w:pPr>
            <w:r>
              <w:rPr>
                <w:sz w:val="20"/>
              </w:rPr>
              <w:t>10</w:t>
            </w:r>
          </w:p>
        </w:tc>
        <w:tc>
          <w:tcPr>
            <w:tcW w:w="1258" w:type="dxa"/>
            <w:tcBorders>
              <w:right w:val="single" w:sz="4" w:space="0" w:color="auto"/>
            </w:tcBorders>
          </w:tcPr>
          <w:p w:rsidR="00A13C45" w:rsidRDefault="00A26171">
            <w:pPr>
              <w:pStyle w:val="TableParagraph"/>
              <w:ind w:left="136" w:right="120"/>
              <w:rPr>
                <w:sz w:val="20"/>
                <w:u w:val="none"/>
              </w:rPr>
            </w:pPr>
            <w:r>
              <w:rPr>
                <w:sz w:val="20"/>
              </w:rPr>
              <w:t>11</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ind w:left="247" w:right="236"/>
              <w:rPr>
                <w:sz w:val="20"/>
                <w:u w:val="none"/>
              </w:rPr>
            </w:pPr>
            <w:r>
              <w:rPr>
                <w:sz w:val="20"/>
              </w:rPr>
              <w:t>11</w:t>
            </w:r>
          </w:p>
        </w:tc>
        <w:tc>
          <w:tcPr>
            <w:tcW w:w="1299" w:type="dxa"/>
          </w:tcPr>
          <w:p w:rsidR="00A13C45" w:rsidRDefault="00A26171">
            <w:pPr>
              <w:pStyle w:val="TableParagraph"/>
              <w:ind w:left="134" w:right="129"/>
              <w:rPr>
                <w:sz w:val="20"/>
                <w:u w:val="none"/>
              </w:rPr>
            </w:pPr>
            <w:r>
              <w:rPr>
                <w:sz w:val="20"/>
              </w:rPr>
              <w:t>11</w:t>
            </w:r>
          </w:p>
        </w:tc>
        <w:tc>
          <w:tcPr>
            <w:tcW w:w="1258" w:type="dxa"/>
            <w:tcBorders>
              <w:right w:val="single" w:sz="4" w:space="0" w:color="auto"/>
            </w:tcBorders>
          </w:tcPr>
          <w:p w:rsidR="00A13C45" w:rsidRDefault="00A26171">
            <w:pPr>
              <w:pStyle w:val="TableParagraph"/>
              <w:ind w:left="136" w:right="120"/>
              <w:rPr>
                <w:sz w:val="20"/>
                <w:u w:val="none"/>
              </w:rPr>
            </w:pPr>
            <w:r>
              <w:rPr>
                <w:sz w:val="20"/>
              </w:rPr>
              <w:t>12</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ind w:left="247" w:right="236"/>
              <w:rPr>
                <w:sz w:val="20"/>
                <w:u w:val="none"/>
              </w:rPr>
            </w:pPr>
            <w:r>
              <w:rPr>
                <w:sz w:val="20"/>
              </w:rPr>
              <w:t>12</w:t>
            </w:r>
          </w:p>
        </w:tc>
        <w:tc>
          <w:tcPr>
            <w:tcW w:w="1299" w:type="dxa"/>
          </w:tcPr>
          <w:p w:rsidR="00A13C45" w:rsidRDefault="00A26171">
            <w:pPr>
              <w:pStyle w:val="TableParagraph"/>
              <w:ind w:left="134" w:right="129"/>
              <w:rPr>
                <w:sz w:val="20"/>
                <w:u w:val="none"/>
              </w:rPr>
            </w:pPr>
            <w:r>
              <w:rPr>
                <w:sz w:val="20"/>
              </w:rPr>
              <w:t>12</w:t>
            </w:r>
          </w:p>
        </w:tc>
        <w:tc>
          <w:tcPr>
            <w:tcW w:w="1258" w:type="dxa"/>
            <w:tcBorders>
              <w:right w:val="single" w:sz="4" w:space="0" w:color="auto"/>
            </w:tcBorders>
          </w:tcPr>
          <w:p w:rsidR="00A13C45" w:rsidRDefault="00A26171">
            <w:pPr>
              <w:pStyle w:val="TableParagraph"/>
              <w:ind w:left="136" w:right="120"/>
              <w:rPr>
                <w:sz w:val="20"/>
                <w:u w:val="none"/>
              </w:rPr>
            </w:pPr>
            <w:r>
              <w:rPr>
                <w:sz w:val="20"/>
              </w:rPr>
              <w:t>13</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ind w:left="247" w:right="236"/>
              <w:rPr>
                <w:sz w:val="20"/>
                <w:u w:val="none"/>
              </w:rPr>
            </w:pPr>
            <w:r>
              <w:rPr>
                <w:sz w:val="20"/>
              </w:rPr>
              <w:t>13</w:t>
            </w:r>
          </w:p>
        </w:tc>
        <w:tc>
          <w:tcPr>
            <w:tcW w:w="1299" w:type="dxa"/>
          </w:tcPr>
          <w:p w:rsidR="00A13C45" w:rsidRDefault="00A26171">
            <w:pPr>
              <w:pStyle w:val="TableParagraph"/>
              <w:ind w:left="134" w:right="129"/>
              <w:rPr>
                <w:sz w:val="20"/>
                <w:u w:val="none"/>
              </w:rPr>
            </w:pPr>
            <w:r>
              <w:rPr>
                <w:sz w:val="20"/>
              </w:rPr>
              <w:t>11</w:t>
            </w:r>
          </w:p>
        </w:tc>
        <w:tc>
          <w:tcPr>
            <w:tcW w:w="1258" w:type="dxa"/>
            <w:tcBorders>
              <w:right w:val="single" w:sz="4" w:space="0" w:color="auto"/>
            </w:tcBorders>
          </w:tcPr>
          <w:p w:rsidR="00A13C45" w:rsidRDefault="00A26171">
            <w:pPr>
              <w:pStyle w:val="TableParagraph"/>
              <w:ind w:left="136" w:right="120"/>
              <w:rPr>
                <w:sz w:val="20"/>
                <w:u w:val="none"/>
              </w:rPr>
            </w:pPr>
            <w:r>
              <w:rPr>
                <w:sz w:val="20"/>
              </w:rPr>
              <w:t>13</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0"/>
        </w:trPr>
        <w:tc>
          <w:tcPr>
            <w:tcW w:w="766" w:type="dxa"/>
          </w:tcPr>
          <w:p w:rsidR="00A13C45" w:rsidRDefault="00A26171">
            <w:pPr>
              <w:pStyle w:val="TableParagraph"/>
              <w:ind w:left="247" w:right="236"/>
              <w:rPr>
                <w:sz w:val="20"/>
                <w:u w:val="none"/>
              </w:rPr>
            </w:pPr>
            <w:r>
              <w:rPr>
                <w:sz w:val="20"/>
              </w:rPr>
              <w:t>14</w:t>
            </w:r>
          </w:p>
        </w:tc>
        <w:tc>
          <w:tcPr>
            <w:tcW w:w="1299" w:type="dxa"/>
          </w:tcPr>
          <w:p w:rsidR="00A13C45" w:rsidRDefault="00A26171">
            <w:pPr>
              <w:pStyle w:val="TableParagraph"/>
              <w:ind w:left="134" w:right="129"/>
              <w:rPr>
                <w:sz w:val="20"/>
                <w:u w:val="none"/>
              </w:rPr>
            </w:pPr>
            <w:r>
              <w:rPr>
                <w:sz w:val="20"/>
              </w:rPr>
              <w:t>15</w:t>
            </w:r>
          </w:p>
        </w:tc>
        <w:tc>
          <w:tcPr>
            <w:tcW w:w="1258" w:type="dxa"/>
            <w:tcBorders>
              <w:right w:val="single" w:sz="4" w:space="0" w:color="auto"/>
            </w:tcBorders>
          </w:tcPr>
          <w:p w:rsidR="00A13C45" w:rsidRDefault="00A26171">
            <w:pPr>
              <w:pStyle w:val="TableParagraph"/>
              <w:ind w:left="136" w:right="120"/>
              <w:rPr>
                <w:sz w:val="20"/>
                <w:u w:val="none"/>
              </w:rPr>
            </w:pPr>
            <w:r>
              <w:rPr>
                <w:sz w:val="20"/>
              </w:rPr>
              <w:t>16</w:t>
            </w:r>
          </w:p>
        </w:tc>
        <w:tc>
          <w:tcPr>
            <w:tcW w:w="1301" w:type="dxa"/>
            <w:tcBorders>
              <w:left w:val="single" w:sz="4" w:space="0" w:color="auto"/>
            </w:tcBorders>
          </w:tcPr>
          <w:p w:rsidR="00A13C45" w:rsidRDefault="00A26171">
            <w:pPr>
              <w:pStyle w:val="TableParagraph"/>
              <w:rPr>
                <w:sz w:val="20"/>
                <w:u w:val="none"/>
              </w:rPr>
            </w:pPr>
            <w:r>
              <w:rPr>
                <w:w w:val="99"/>
                <w:sz w:val="20"/>
              </w:rPr>
              <w:t>5</w:t>
            </w:r>
          </w:p>
        </w:tc>
        <w:tc>
          <w:tcPr>
            <w:tcW w:w="1258" w:type="dxa"/>
          </w:tcPr>
          <w:p w:rsidR="00A13C45" w:rsidRDefault="00A26171">
            <w:pPr>
              <w:pStyle w:val="TableParagraph"/>
              <w:ind w:left="20"/>
              <w:rPr>
                <w:sz w:val="20"/>
                <w:u w:val="none"/>
              </w:rPr>
            </w:pPr>
            <w:r>
              <w:rPr>
                <w:w w:val="99"/>
                <w:sz w:val="20"/>
              </w:rPr>
              <w:t>0</w:t>
            </w:r>
          </w:p>
        </w:tc>
      </w:tr>
      <w:tr w:rsidR="00A13C45" w:rsidTr="009A0DFE">
        <w:trPr>
          <w:trHeight w:val="307"/>
        </w:trPr>
        <w:tc>
          <w:tcPr>
            <w:tcW w:w="766" w:type="dxa"/>
          </w:tcPr>
          <w:p w:rsidR="00A13C45" w:rsidRDefault="00A26171">
            <w:pPr>
              <w:pStyle w:val="TableParagraph"/>
              <w:ind w:left="247" w:right="236"/>
              <w:rPr>
                <w:sz w:val="20"/>
                <w:u w:val="none"/>
              </w:rPr>
            </w:pPr>
            <w:r>
              <w:rPr>
                <w:sz w:val="20"/>
              </w:rPr>
              <w:t>15</w:t>
            </w:r>
          </w:p>
        </w:tc>
        <w:tc>
          <w:tcPr>
            <w:tcW w:w="1299" w:type="dxa"/>
          </w:tcPr>
          <w:p w:rsidR="00A13C45" w:rsidRDefault="00A26171">
            <w:pPr>
              <w:pStyle w:val="TableParagraph"/>
              <w:ind w:left="134" w:right="129"/>
              <w:rPr>
                <w:sz w:val="20"/>
                <w:u w:val="none"/>
              </w:rPr>
            </w:pPr>
            <w:r>
              <w:rPr>
                <w:sz w:val="20"/>
              </w:rPr>
              <w:t>11</w:t>
            </w:r>
          </w:p>
        </w:tc>
        <w:tc>
          <w:tcPr>
            <w:tcW w:w="1258" w:type="dxa"/>
            <w:tcBorders>
              <w:right w:val="single" w:sz="4" w:space="0" w:color="auto"/>
            </w:tcBorders>
          </w:tcPr>
          <w:p w:rsidR="00A13C45" w:rsidRDefault="00A26171">
            <w:pPr>
              <w:pStyle w:val="TableParagraph"/>
              <w:ind w:left="22"/>
              <w:rPr>
                <w:sz w:val="20"/>
                <w:u w:val="none"/>
              </w:rPr>
            </w:pPr>
            <w:r>
              <w:rPr>
                <w:w w:val="99"/>
                <w:sz w:val="20"/>
              </w:rPr>
              <w:t>8</w:t>
            </w:r>
          </w:p>
        </w:tc>
        <w:tc>
          <w:tcPr>
            <w:tcW w:w="1301" w:type="dxa"/>
            <w:tcBorders>
              <w:left w:val="single" w:sz="4" w:space="0" w:color="auto"/>
            </w:tcBorders>
          </w:tcPr>
          <w:p w:rsidR="00A13C45" w:rsidRDefault="00A26171">
            <w:pPr>
              <w:pStyle w:val="TableParagraph"/>
              <w:rPr>
                <w:sz w:val="20"/>
                <w:u w:val="none"/>
              </w:rPr>
            </w:pPr>
            <w:r>
              <w:rPr>
                <w:w w:val="99"/>
                <w:sz w:val="20"/>
              </w:rPr>
              <w:t>0</w:t>
            </w:r>
          </w:p>
        </w:tc>
        <w:tc>
          <w:tcPr>
            <w:tcW w:w="1258" w:type="dxa"/>
          </w:tcPr>
          <w:p w:rsidR="00A13C45" w:rsidRDefault="00A26171">
            <w:pPr>
              <w:pStyle w:val="TableParagraph"/>
              <w:ind w:left="20"/>
              <w:rPr>
                <w:sz w:val="20"/>
                <w:u w:val="none"/>
              </w:rPr>
            </w:pPr>
            <w:r>
              <w:rPr>
                <w:w w:val="99"/>
                <w:sz w:val="20"/>
              </w:rPr>
              <w:t>7</w:t>
            </w:r>
          </w:p>
        </w:tc>
      </w:tr>
      <w:tr w:rsidR="00A13C45" w:rsidTr="009A0DFE">
        <w:trPr>
          <w:trHeight w:val="269"/>
        </w:trPr>
        <w:tc>
          <w:tcPr>
            <w:tcW w:w="766" w:type="dxa"/>
          </w:tcPr>
          <w:p w:rsidR="00A13C45" w:rsidRDefault="00A26171">
            <w:pPr>
              <w:pStyle w:val="TableParagraph"/>
              <w:spacing w:before="38" w:line="211" w:lineRule="exact"/>
              <w:ind w:left="247" w:right="236"/>
              <w:rPr>
                <w:sz w:val="20"/>
                <w:u w:val="none"/>
              </w:rPr>
            </w:pPr>
            <w:r>
              <w:rPr>
                <w:sz w:val="20"/>
              </w:rPr>
              <w:t>16</w:t>
            </w:r>
          </w:p>
        </w:tc>
        <w:tc>
          <w:tcPr>
            <w:tcW w:w="1299" w:type="dxa"/>
          </w:tcPr>
          <w:p w:rsidR="00A13C45" w:rsidRDefault="00A26171">
            <w:pPr>
              <w:pStyle w:val="TableParagraph"/>
              <w:spacing w:before="38" w:line="211" w:lineRule="exact"/>
              <w:ind w:left="134" w:right="129"/>
              <w:rPr>
                <w:sz w:val="20"/>
                <w:u w:val="none"/>
              </w:rPr>
            </w:pPr>
            <w:r>
              <w:rPr>
                <w:sz w:val="20"/>
              </w:rPr>
              <w:t>22</w:t>
            </w:r>
          </w:p>
        </w:tc>
        <w:tc>
          <w:tcPr>
            <w:tcW w:w="1258" w:type="dxa"/>
            <w:tcBorders>
              <w:right w:val="single" w:sz="4" w:space="0" w:color="auto"/>
            </w:tcBorders>
          </w:tcPr>
          <w:p w:rsidR="00A13C45" w:rsidRDefault="00A26171">
            <w:pPr>
              <w:pStyle w:val="TableParagraph"/>
              <w:spacing w:before="38" w:line="211" w:lineRule="exact"/>
              <w:ind w:left="136" w:right="120"/>
              <w:rPr>
                <w:sz w:val="20"/>
                <w:u w:val="none"/>
              </w:rPr>
            </w:pPr>
            <w:r>
              <w:rPr>
                <w:sz w:val="20"/>
              </w:rPr>
              <w:t>39</w:t>
            </w:r>
          </w:p>
        </w:tc>
        <w:tc>
          <w:tcPr>
            <w:tcW w:w="1301" w:type="dxa"/>
            <w:tcBorders>
              <w:left w:val="single" w:sz="4" w:space="0" w:color="auto"/>
            </w:tcBorders>
          </w:tcPr>
          <w:p w:rsidR="00A13C45" w:rsidRDefault="00A26171">
            <w:pPr>
              <w:pStyle w:val="TableParagraph"/>
              <w:spacing w:before="38" w:line="211" w:lineRule="exact"/>
              <w:ind w:left="138" w:right="127"/>
              <w:rPr>
                <w:sz w:val="20"/>
                <w:u w:val="none"/>
              </w:rPr>
            </w:pPr>
            <w:r>
              <w:rPr>
                <w:sz w:val="20"/>
              </w:rPr>
              <w:t>14</w:t>
            </w:r>
          </w:p>
        </w:tc>
        <w:tc>
          <w:tcPr>
            <w:tcW w:w="1258" w:type="dxa"/>
          </w:tcPr>
          <w:p w:rsidR="00A13C45" w:rsidRDefault="00A26171">
            <w:pPr>
              <w:pStyle w:val="TableParagraph"/>
              <w:spacing w:before="38" w:line="211" w:lineRule="exact"/>
              <w:ind w:left="135" w:right="120"/>
              <w:rPr>
                <w:sz w:val="20"/>
                <w:u w:val="none"/>
              </w:rPr>
            </w:pPr>
            <w:r>
              <w:rPr>
                <w:sz w:val="20"/>
              </w:rPr>
              <w:t>10</w:t>
            </w:r>
          </w:p>
        </w:tc>
      </w:tr>
    </w:tbl>
    <w:p w:rsidR="00A13C45" w:rsidRDefault="00A13C45">
      <w:pPr>
        <w:pStyle w:val="BodyText"/>
        <w:rPr>
          <w:b/>
          <w:sz w:val="22"/>
        </w:rPr>
      </w:pPr>
    </w:p>
    <w:p w:rsidR="00A13C45" w:rsidRDefault="009A0DFE">
      <w:pPr>
        <w:pStyle w:val="BodyText"/>
        <w:rPr>
          <w:u w:val="single"/>
        </w:rPr>
      </w:pPr>
      <w:r>
        <w:rPr>
          <w:b/>
          <w:u w:val="single"/>
        </w:rPr>
        <w:t xml:space="preserve">Note: </w:t>
      </w:r>
      <w:r>
        <w:rPr>
          <w:u w:val="single"/>
        </w:rPr>
        <w:t>Community shared options complying with Title 24, Part</w:t>
      </w:r>
      <w:r>
        <w:t xml:space="preserve"> </w:t>
      </w:r>
      <w:r>
        <w:rPr>
          <w:u w:val="single"/>
        </w:rPr>
        <w:t>1, Section 10-115 may be used to achieve Total EDR targets.</w:t>
      </w:r>
    </w:p>
    <w:p w:rsidR="009A0DFE" w:rsidRDefault="009A0DFE">
      <w:pPr>
        <w:pStyle w:val="BodyText"/>
        <w:rPr>
          <w:b/>
          <w:sz w:val="18"/>
        </w:rPr>
      </w:pPr>
    </w:p>
    <w:p w:rsidR="00A13C45" w:rsidRDefault="00A26171">
      <w:pPr>
        <w:spacing w:line="283" w:lineRule="auto"/>
        <w:ind w:left="120" w:right="334"/>
        <w:rPr>
          <w:sz w:val="20"/>
        </w:rPr>
      </w:pPr>
      <w:r>
        <w:rPr>
          <w:b/>
          <w:sz w:val="20"/>
        </w:rPr>
        <w:t xml:space="preserve">A4.203.1.1.2 Quality Insulation Installation (QII). </w:t>
      </w:r>
      <w:r>
        <w:rPr>
          <w:sz w:val="20"/>
        </w:rPr>
        <w:t xml:space="preserve">The QII procedures specified in the Building Energy Efficiency Standards Reference </w:t>
      </w:r>
      <w:r>
        <w:rPr>
          <w:sz w:val="20"/>
          <w:u w:val="single"/>
        </w:rPr>
        <w:t>Appendices</w:t>
      </w:r>
      <w:r>
        <w:rPr>
          <w:strike/>
          <w:sz w:val="20"/>
        </w:rPr>
        <w:t xml:space="preserve">Residential Appendix </w:t>
      </w:r>
      <w:r>
        <w:rPr>
          <w:sz w:val="20"/>
        </w:rPr>
        <w:t>RA3.5 shall be completed.</w:t>
      </w:r>
    </w:p>
    <w:p w:rsidR="00A13C45" w:rsidRDefault="00A26171">
      <w:pPr>
        <w:spacing w:before="187" w:line="278" w:lineRule="auto"/>
        <w:ind w:left="120" w:right="122"/>
        <w:rPr>
          <w:sz w:val="20"/>
        </w:rPr>
      </w:pPr>
      <w:r>
        <w:rPr>
          <w:b/>
          <w:sz w:val="20"/>
        </w:rPr>
        <w:t xml:space="preserve">A4.203.1.2 </w:t>
      </w:r>
      <w:r>
        <w:rPr>
          <w:b/>
          <w:sz w:val="20"/>
          <w:u w:val="single"/>
        </w:rPr>
        <w:t xml:space="preserve">Tier 1 and Tier 2 prerequisite options. </w:t>
      </w:r>
      <w:r>
        <w:rPr>
          <w:sz w:val="20"/>
          <w:u w:val="single"/>
        </w:rPr>
        <w:t>In addition, ONE of the following efficiency measures</w:t>
      </w:r>
      <w:r>
        <w:rPr>
          <w:sz w:val="20"/>
        </w:rPr>
        <w:t xml:space="preserve"> </w:t>
      </w:r>
      <w:r>
        <w:rPr>
          <w:sz w:val="20"/>
          <w:u w:val="single"/>
        </w:rPr>
        <w:t>will be required: A4.203.1.2.1 Roof deck insulation, or ducts in conditioned space OR A4.203.1</w:t>
      </w:r>
      <w:r>
        <w:rPr>
          <w:sz w:val="20"/>
          <w:u w:val="single"/>
        </w:rPr>
        <w:t>.2.2 High</w:t>
      </w:r>
    </w:p>
    <w:p w:rsidR="00A13C45" w:rsidRDefault="00A13C45">
      <w:pPr>
        <w:spacing w:line="278" w:lineRule="auto"/>
        <w:rPr>
          <w:sz w:val="20"/>
        </w:rPr>
        <w:sectPr w:rsidR="00A13C45" w:rsidSect="00C07A03">
          <w:pgSz w:w="12240" w:h="15840"/>
          <w:pgMar w:top="1080" w:right="1320" w:bottom="280" w:left="1320" w:header="1447" w:footer="0" w:gutter="0"/>
          <w:cols w:space="720"/>
        </w:sectPr>
      </w:pPr>
    </w:p>
    <w:p w:rsidR="00A13C45" w:rsidRDefault="00A26171">
      <w:pPr>
        <w:pStyle w:val="BodyText"/>
        <w:spacing w:before="79" w:line="278" w:lineRule="auto"/>
        <w:ind w:left="120" w:right="923"/>
      </w:pPr>
      <w:r>
        <w:rPr>
          <w:u w:val="single"/>
        </w:rPr>
        <w:lastRenderedPageBreak/>
        <w:t>Performance Walls OR A4.203.1.2.3 HERS-Verified Compact Hot Water Distribution System OR</w:t>
      </w:r>
      <w:r>
        <w:t xml:space="preserve"> </w:t>
      </w:r>
      <w:r>
        <w:rPr>
          <w:u w:val="single"/>
        </w:rPr>
        <w:t>A4.203.1.2.4 HERS-Verified Drain Water Heat Recovery.</w:t>
      </w:r>
    </w:p>
    <w:p w:rsidR="00A13C45" w:rsidRDefault="00A13C45">
      <w:pPr>
        <w:pStyle w:val="BodyText"/>
        <w:spacing w:before="9"/>
        <w:rPr>
          <w:sz w:val="8"/>
        </w:rPr>
      </w:pPr>
    </w:p>
    <w:p w:rsidR="00A13C45" w:rsidRDefault="00A26171">
      <w:pPr>
        <w:spacing w:before="93" w:line="276" w:lineRule="auto"/>
        <w:ind w:left="120" w:right="117"/>
        <w:rPr>
          <w:sz w:val="20"/>
        </w:rPr>
      </w:pPr>
      <w:r>
        <w:rPr>
          <w:b/>
          <w:sz w:val="20"/>
          <w:u w:val="single"/>
        </w:rPr>
        <w:t xml:space="preserve">A4.203.1.2.1 Roof deck insulation, or ducts in conditioned space. </w:t>
      </w:r>
      <w:r>
        <w:rPr>
          <w:sz w:val="20"/>
          <w:u w:val="single"/>
        </w:rPr>
        <w:t>Meet one of the three options for</w:t>
      </w:r>
      <w:r>
        <w:rPr>
          <w:sz w:val="20"/>
        </w:rPr>
        <w:t xml:space="preserve"> </w:t>
      </w:r>
      <w:r>
        <w:rPr>
          <w:sz w:val="20"/>
          <w:u w:val="single"/>
        </w:rPr>
        <w:t>the location of ducts and air handler as well as insulation R values and installation of a radiant barrier as</w:t>
      </w:r>
      <w:r>
        <w:rPr>
          <w:sz w:val="20"/>
        </w:rPr>
        <w:t xml:space="preserve"> </w:t>
      </w:r>
      <w:r>
        <w:rPr>
          <w:sz w:val="20"/>
          <w:u w:val="single"/>
        </w:rPr>
        <w:t>specified in Title 24, Part 6, Section 150.1(c)9A or B:</w:t>
      </w:r>
    </w:p>
    <w:p w:rsidR="00A13C45" w:rsidRDefault="00A26171">
      <w:pPr>
        <w:pStyle w:val="ListParagraph"/>
        <w:numPr>
          <w:ilvl w:val="0"/>
          <w:numId w:val="9"/>
        </w:numPr>
        <w:tabs>
          <w:tab w:val="left" w:pos="1560"/>
        </w:tabs>
        <w:spacing w:before="1"/>
        <w:rPr>
          <w:sz w:val="20"/>
        </w:rPr>
      </w:pPr>
      <w:r>
        <w:rPr>
          <w:spacing w:val="-1"/>
          <w:w w:val="99"/>
          <w:sz w:val="20"/>
          <w:u w:val="single"/>
        </w:rPr>
        <w:t xml:space="preserve"> </w:t>
      </w:r>
      <w:r>
        <w:rPr>
          <w:sz w:val="20"/>
          <w:u w:val="single"/>
        </w:rPr>
        <w:t>Below roof deck insulation with a minimum R-value of 19</w:t>
      </w:r>
      <w:r>
        <w:rPr>
          <w:sz w:val="20"/>
          <w:u w:val="single"/>
        </w:rPr>
        <w:t>;</w:t>
      </w:r>
      <w:r>
        <w:rPr>
          <w:spacing w:val="3"/>
          <w:sz w:val="20"/>
          <w:u w:val="single"/>
        </w:rPr>
        <w:t xml:space="preserve"> </w:t>
      </w:r>
      <w:r>
        <w:rPr>
          <w:sz w:val="20"/>
          <w:u w:val="single"/>
        </w:rPr>
        <w:t>or,</w:t>
      </w:r>
    </w:p>
    <w:p w:rsidR="00A13C45" w:rsidRDefault="00A26171">
      <w:pPr>
        <w:pStyle w:val="ListParagraph"/>
        <w:numPr>
          <w:ilvl w:val="0"/>
          <w:numId w:val="9"/>
        </w:numPr>
        <w:tabs>
          <w:tab w:val="left" w:pos="1561"/>
        </w:tabs>
        <w:spacing w:before="36" w:line="276" w:lineRule="auto"/>
        <w:ind w:right="558"/>
        <w:rPr>
          <w:sz w:val="20"/>
        </w:rPr>
      </w:pPr>
      <w:r>
        <w:rPr>
          <w:sz w:val="20"/>
          <w:u w:val="single"/>
        </w:rPr>
        <w:t>Continuous above deck insulation with a minimum R-8 and with an air space</w:t>
      </w:r>
      <w:r>
        <w:rPr>
          <w:spacing w:val="-36"/>
          <w:sz w:val="20"/>
          <w:u w:val="single"/>
        </w:rPr>
        <w:t xml:space="preserve"> </w:t>
      </w:r>
      <w:r>
        <w:rPr>
          <w:sz w:val="20"/>
          <w:u w:val="single"/>
        </w:rPr>
        <w:t>present between the roofing and the roof deck;</w:t>
      </w:r>
      <w:r>
        <w:rPr>
          <w:spacing w:val="-3"/>
          <w:sz w:val="20"/>
          <w:u w:val="single"/>
        </w:rPr>
        <w:t xml:space="preserve"> </w:t>
      </w:r>
      <w:r>
        <w:rPr>
          <w:sz w:val="20"/>
          <w:u w:val="single"/>
        </w:rPr>
        <w:t>or,</w:t>
      </w:r>
    </w:p>
    <w:p w:rsidR="00A13C45" w:rsidRDefault="00A26171">
      <w:pPr>
        <w:pStyle w:val="ListParagraph"/>
        <w:numPr>
          <w:ilvl w:val="0"/>
          <w:numId w:val="9"/>
        </w:numPr>
        <w:tabs>
          <w:tab w:val="left" w:pos="1561"/>
        </w:tabs>
        <w:spacing w:before="0" w:line="278" w:lineRule="auto"/>
        <w:ind w:right="902"/>
        <w:rPr>
          <w:sz w:val="20"/>
        </w:rPr>
      </w:pPr>
      <w:r>
        <w:rPr>
          <w:sz w:val="20"/>
          <w:u w:val="single"/>
        </w:rPr>
        <w:t>All ducts and air handlers in conditioned space as specified in the Title 24, Part</w:t>
      </w:r>
      <w:r>
        <w:rPr>
          <w:spacing w:val="-36"/>
          <w:sz w:val="20"/>
          <w:u w:val="single"/>
        </w:rPr>
        <w:t xml:space="preserve"> </w:t>
      </w:r>
      <w:r>
        <w:rPr>
          <w:sz w:val="20"/>
          <w:u w:val="single"/>
        </w:rPr>
        <w:t>6 Reference Appendices</w:t>
      </w:r>
      <w:r>
        <w:rPr>
          <w:spacing w:val="-2"/>
          <w:sz w:val="20"/>
          <w:u w:val="single"/>
        </w:rPr>
        <w:t xml:space="preserve"> </w:t>
      </w:r>
      <w:r>
        <w:rPr>
          <w:sz w:val="20"/>
          <w:u w:val="single"/>
        </w:rPr>
        <w:t>RA3.1.</w:t>
      </w:r>
    </w:p>
    <w:p w:rsidR="00A13C45" w:rsidRDefault="00A13C45">
      <w:pPr>
        <w:pStyle w:val="BodyText"/>
        <w:spacing w:before="8"/>
        <w:rPr>
          <w:sz w:val="8"/>
        </w:rPr>
      </w:pPr>
    </w:p>
    <w:p w:rsidR="00A13C45" w:rsidRDefault="00A26171">
      <w:pPr>
        <w:pStyle w:val="BodyText"/>
        <w:spacing w:before="93" w:line="278" w:lineRule="auto"/>
        <w:ind w:left="120" w:right="556"/>
      </w:pPr>
      <w:r>
        <w:rPr>
          <w:b/>
          <w:u w:val="single"/>
        </w:rPr>
        <w:t xml:space="preserve">A4.203.1.2.2 High Performance Walls (HPW). </w:t>
      </w:r>
      <w:r>
        <w:rPr>
          <w:u w:val="single"/>
        </w:rPr>
        <w:t>HPW meet the climate zone dependent U-factor and</w:t>
      </w:r>
      <w:r>
        <w:t xml:space="preserve"> </w:t>
      </w:r>
      <w:r>
        <w:rPr>
          <w:u w:val="single"/>
        </w:rPr>
        <w:t>insulation values for either 2x6 or 2x4 framing as specified in Title 24, Part 6, Section 150.1(c)1B:</w:t>
      </w:r>
      <w:r>
        <w:t xml:space="preserve"> </w:t>
      </w:r>
      <w:r>
        <w:rPr>
          <w:u w:val="single"/>
        </w:rPr>
        <w:t>maximum U-factor of 0.048.</w:t>
      </w:r>
    </w:p>
    <w:p w:rsidR="00A13C45" w:rsidRDefault="00A13C45">
      <w:pPr>
        <w:pStyle w:val="BodyText"/>
        <w:spacing w:before="8"/>
        <w:rPr>
          <w:sz w:val="8"/>
        </w:rPr>
      </w:pPr>
    </w:p>
    <w:p w:rsidR="00A13C45" w:rsidRDefault="00A26171">
      <w:pPr>
        <w:spacing w:before="93" w:line="280" w:lineRule="auto"/>
        <w:ind w:left="120" w:right="242"/>
        <w:rPr>
          <w:sz w:val="20"/>
        </w:rPr>
      </w:pPr>
      <w:r>
        <w:rPr>
          <w:b/>
          <w:sz w:val="20"/>
          <w:u w:val="thick"/>
        </w:rPr>
        <w:t>A4.203.1.2.3 HERS-Verified Compact</w:t>
      </w:r>
      <w:r>
        <w:rPr>
          <w:b/>
          <w:sz w:val="20"/>
          <w:u w:val="thick"/>
        </w:rPr>
        <w:t xml:space="preserve"> Hot Water Distribution System (CHWDS-H). </w:t>
      </w:r>
      <w:r>
        <w:rPr>
          <w:sz w:val="20"/>
          <w:u w:val="thick"/>
        </w:rPr>
        <w:t>CHWDS-H shall</w:t>
      </w:r>
      <w:r>
        <w:rPr>
          <w:sz w:val="20"/>
        </w:rPr>
        <w:t xml:space="preserve"> </w:t>
      </w:r>
      <w:r>
        <w:rPr>
          <w:sz w:val="20"/>
          <w:u w:val="single"/>
        </w:rPr>
        <w:t>be installed as specified in the Title 24, Part 6 Reference Appendix RA3.6.5.</w:t>
      </w:r>
    </w:p>
    <w:p w:rsidR="00A13C45" w:rsidRDefault="00A26171">
      <w:pPr>
        <w:spacing w:before="189" w:line="283" w:lineRule="auto"/>
        <w:ind w:left="120"/>
        <w:rPr>
          <w:sz w:val="20"/>
        </w:rPr>
      </w:pPr>
      <w:r>
        <w:rPr>
          <w:b/>
          <w:sz w:val="20"/>
          <w:u w:val="single"/>
        </w:rPr>
        <w:t xml:space="preserve">A4.203.1.2.4 HERS-Verified Drain Water Heat Recovery (DWHR-H). </w:t>
      </w:r>
      <w:r>
        <w:rPr>
          <w:sz w:val="20"/>
          <w:u w:val="single"/>
        </w:rPr>
        <w:t>DWHR-H shall be installed as</w:t>
      </w:r>
      <w:r>
        <w:rPr>
          <w:sz w:val="20"/>
        </w:rPr>
        <w:t xml:space="preserve"> </w:t>
      </w:r>
      <w:r>
        <w:rPr>
          <w:sz w:val="20"/>
          <w:u w:val="single"/>
        </w:rPr>
        <w:t xml:space="preserve">specified in Title 24, Part 6 </w:t>
      </w:r>
      <w:r>
        <w:rPr>
          <w:sz w:val="20"/>
          <w:u w:val="single"/>
        </w:rPr>
        <w:t>Reference Appendix RA4.4.21.</w:t>
      </w:r>
    </w:p>
    <w:p w:rsidR="00A13C45" w:rsidRDefault="00A26171">
      <w:pPr>
        <w:spacing w:before="187" w:line="280" w:lineRule="auto"/>
        <w:ind w:left="120" w:right="1166"/>
        <w:rPr>
          <w:sz w:val="20"/>
        </w:rPr>
      </w:pPr>
      <w:r>
        <w:rPr>
          <w:b/>
          <w:sz w:val="20"/>
          <w:u w:val="thick"/>
        </w:rPr>
        <w:t xml:space="preserve">A4.203.1.3 </w:t>
      </w:r>
      <w:r>
        <w:rPr>
          <w:b/>
          <w:sz w:val="20"/>
        </w:rPr>
        <w:t xml:space="preserve">Performance standard. </w:t>
      </w:r>
      <w:r>
        <w:rPr>
          <w:sz w:val="20"/>
        </w:rPr>
        <w:t>Comply with one of the advanced efficiency levels</w:t>
      </w:r>
      <w:r>
        <w:rPr>
          <w:sz w:val="20"/>
          <w:u w:val="single"/>
        </w:rPr>
        <w:t>, either</w:t>
      </w:r>
      <w:r>
        <w:rPr>
          <w:sz w:val="20"/>
        </w:rPr>
        <w:t xml:space="preserve"> </w:t>
      </w:r>
      <w:r>
        <w:rPr>
          <w:sz w:val="20"/>
          <w:u w:val="single"/>
        </w:rPr>
        <w:t xml:space="preserve">A4.201.1.3.1 OR A4.201.1.3.2, </w:t>
      </w:r>
      <w:r>
        <w:rPr>
          <w:sz w:val="20"/>
        </w:rPr>
        <w:t>indicated below.</w:t>
      </w:r>
    </w:p>
    <w:p w:rsidR="00A13C45" w:rsidRDefault="00A26171">
      <w:pPr>
        <w:pStyle w:val="BodyText"/>
        <w:spacing w:before="192" w:line="276" w:lineRule="auto"/>
        <w:ind w:left="120" w:right="242"/>
      </w:pPr>
      <w:r>
        <w:rPr>
          <w:b/>
        </w:rPr>
        <w:t>A4.203.1.</w:t>
      </w:r>
      <w:r>
        <w:rPr>
          <w:b/>
          <w:strike/>
        </w:rPr>
        <w:t>2</w:t>
      </w:r>
      <w:r>
        <w:rPr>
          <w:b/>
          <w:u w:val="thick"/>
        </w:rPr>
        <w:t>3</w:t>
      </w:r>
      <w:r>
        <w:rPr>
          <w:b/>
        </w:rPr>
        <w:t xml:space="preserve">.1 Tier 1. </w:t>
      </w:r>
      <w:r>
        <w:t>Buildings complying with the first level of advanced energy efficie</w:t>
      </w:r>
      <w:r>
        <w:t xml:space="preserve">ncy shall have </w:t>
      </w:r>
      <w:r>
        <w:rPr>
          <w:strike/>
        </w:rPr>
        <w:t>either an Energy Budget that is no greater than 85 percent of the Title 24, Part 6 Energy Budget for the</w:t>
      </w:r>
      <w:r>
        <w:t xml:space="preserve"> </w:t>
      </w:r>
      <w:r>
        <w:rPr>
          <w:strike/>
        </w:rPr>
        <w:t>Standard Design Building, or an Energy Design Rating showing a 15% or greater reduction in its Energy</w:t>
      </w:r>
      <w:r>
        <w:t xml:space="preserve"> </w:t>
      </w:r>
      <w:r>
        <w:rPr>
          <w:strike/>
        </w:rPr>
        <w:t>Budget component compared to the Standard Design Building,</w:t>
      </w:r>
      <w:r>
        <w:rPr>
          <w:u w:val="single"/>
        </w:rPr>
        <w:t>additional integrated efficiency and onsite</w:t>
      </w:r>
      <w:r>
        <w:t xml:space="preserve"> </w:t>
      </w:r>
      <w:r>
        <w:rPr>
          <w:u w:val="single"/>
        </w:rPr>
        <w:t>renewable energy generation sufficient to achieve a Total EDR of the Tier 1 value indicated by Table</w:t>
      </w:r>
      <w:r>
        <w:t xml:space="preserve"> </w:t>
      </w:r>
      <w:r>
        <w:rPr>
          <w:u w:val="single"/>
        </w:rPr>
        <w:t>A4.203.1.1.1 or lower</w:t>
      </w:r>
      <w:r>
        <w:t xml:space="preserve"> as calculated by Title 24, Part</w:t>
      </w:r>
      <w:r>
        <w:t xml:space="preserve"> 6 Compliance Software approved by the Energy Commission.</w:t>
      </w:r>
      <w:r>
        <w:rPr>
          <w:u w:val="single"/>
        </w:rPr>
        <w:t xml:space="preserve"> This requirement is in addition to meeting the Efficiency EDR required for compliance with</w:t>
      </w:r>
      <w:r>
        <w:t xml:space="preserve"> </w:t>
      </w:r>
      <w:r>
        <w:rPr>
          <w:u w:val="single"/>
        </w:rPr>
        <w:t>Title 24, Part 6. Measures considered to meet the Total EDR targets calculated by the compliance</w:t>
      </w:r>
      <w:r>
        <w:t xml:space="preserve"> </w:t>
      </w:r>
      <w:r>
        <w:rPr>
          <w:u w:val="single"/>
        </w:rPr>
        <w:t>software i</w:t>
      </w:r>
      <w:r>
        <w:rPr>
          <w:u w:val="single"/>
        </w:rPr>
        <w:t>nclude, but are not limited to, the prerequisite options specified in Section A4.203.1.2, use of</w:t>
      </w:r>
      <w:r>
        <w:t xml:space="preserve"> </w:t>
      </w:r>
      <w:r>
        <w:rPr>
          <w:u w:val="single"/>
        </w:rPr>
        <w:t>Demand Response. additional energy efficiency measures (e.g. triple pane windows), as well as onsite</w:t>
      </w:r>
      <w:r>
        <w:t xml:space="preserve"> </w:t>
      </w:r>
      <w:r>
        <w:rPr>
          <w:u w:val="single"/>
        </w:rPr>
        <w:t>electric battery and/or thermal storage.</w:t>
      </w:r>
    </w:p>
    <w:p w:rsidR="00A13C45" w:rsidRDefault="00A13C45">
      <w:pPr>
        <w:pStyle w:val="BodyText"/>
        <w:spacing w:before="2"/>
        <w:rPr>
          <w:sz w:val="9"/>
        </w:rPr>
      </w:pPr>
    </w:p>
    <w:p w:rsidR="00A13C45" w:rsidRDefault="00A26171">
      <w:pPr>
        <w:pStyle w:val="BodyText"/>
        <w:spacing w:before="93" w:line="276" w:lineRule="auto"/>
        <w:ind w:left="120" w:right="122"/>
      </w:pPr>
      <w:r>
        <w:rPr>
          <w:b/>
        </w:rPr>
        <w:t>A4.203.1.</w:t>
      </w:r>
      <w:r>
        <w:rPr>
          <w:b/>
          <w:strike/>
        </w:rPr>
        <w:t>2</w:t>
      </w:r>
      <w:r>
        <w:rPr>
          <w:b/>
          <w:u w:val="thick"/>
        </w:rPr>
        <w:t>3</w:t>
      </w:r>
      <w:r>
        <w:rPr>
          <w:b/>
        </w:rPr>
        <w:t>.2 Ti</w:t>
      </w:r>
      <w:r>
        <w:rPr>
          <w:b/>
        </w:rPr>
        <w:t xml:space="preserve">er 2. </w:t>
      </w:r>
      <w:r>
        <w:t xml:space="preserve">Buildings complying with </w:t>
      </w:r>
      <w:r>
        <w:rPr>
          <w:strike/>
        </w:rPr>
        <w:t>the</w:t>
      </w:r>
      <w:r>
        <w:rPr>
          <w:u w:val="single"/>
        </w:rPr>
        <w:t>this</w:t>
      </w:r>
      <w:r>
        <w:t xml:space="preserve"> second </w:t>
      </w:r>
      <w:r>
        <w:rPr>
          <w:strike/>
        </w:rPr>
        <w:t>level of advanced energy efficiency shall</w:t>
      </w:r>
      <w:r>
        <w:t xml:space="preserve"> </w:t>
      </w:r>
      <w:r>
        <w:rPr>
          <w:strike/>
        </w:rPr>
        <w:t>have either an Energy Budget that is no greater than 70 percent of the Title 24, Part 6 Energy Budget for</w:t>
      </w:r>
      <w:r>
        <w:t xml:space="preserve"> </w:t>
      </w:r>
      <w:r>
        <w:rPr>
          <w:strike/>
        </w:rPr>
        <w:t>the Standard Design Building, or an Energy Design Rating showi</w:t>
      </w:r>
      <w:r>
        <w:rPr>
          <w:strike/>
        </w:rPr>
        <w:t>ng a 30% or greater reduction in its</w:t>
      </w:r>
      <w:r>
        <w:t xml:space="preserve"> </w:t>
      </w:r>
      <w:r>
        <w:rPr>
          <w:strike/>
        </w:rPr>
        <w:t>Energy Budget component compared to the Standard Design Building,</w:t>
      </w:r>
      <w:r>
        <w:rPr>
          <w:u w:val="single"/>
        </w:rPr>
        <w:t>elective designation shall have</w:t>
      </w:r>
      <w:r>
        <w:t xml:space="preserve"> </w:t>
      </w:r>
      <w:r>
        <w:rPr>
          <w:u w:val="single"/>
        </w:rPr>
        <w:t>additional integrated efficiency and onsite renewable energy generation sufficient to achieve a Total EDR</w:t>
      </w:r>
      <w:r>
        <w:t xml:space="preserve"> </w:t>
      </w:r>
      <w:r>
        <w:rPr>
          <w:u w:val="single"/>
        </w:rPr>
        <w:t>of the Tier 2 va</w:t>
      </w:r>
      <w:r>
        <w:rPr>
          <w:u w:val="single"/>
        </w:rPr>
        <w:t>lue indicated by Table A4.203.1.1.1 or lower</w:t>
      </w:r>
      <w:r>
        <w:t xml:space="preserve"> as calculated by Title 24, Part 6 Compliance Software approved by the Energy Commission. </w:t>
      </w:r>
      <w:r>
        <w:rPr>
          <w:u w:val="single"/>
        </w:rPr>
        <w:t>This may be reached by various paths including improved</w:t>
      </w:r>
      <w:r>
        <w:t xml:space="preserve"> </w:t>
      </w:r>
      <w:r>
        <w:rPr>
          <w:u w:val="single"/>
        </w:rPr>
        <w:t>space and water heating efficiencies, advanced electric battery co</w:t>
      </w:r>
      <w:r>
        <w:rPr>
          <w:u w:val="single"/>
        </w:rPr>
        <w:t>ntrols, as well as modest oversizing of</w:t>
      </w:r>
      <w:r>
        <w:t xml:space="preserve"> </w:t>
      </w:r>
      <w:r>
        <w:rPr>
          <w:u w:val="single"/>
        </w:rPr>
        <w:t>the photovoltaic system. This requirement is in addition to meeting the Efficiency EDR required for</w:t>
      </w:r>
      <w:r>
        <w:t xml:space="preserve"> </w:t>
      </w:r>
      <w:r>
        <w:rPr>
          <w:u w:val="single"/>
        </w:rPr>
        <w:t>compliance with Title 24, Part 6. Measures considered to meet the Total EDR targets calculated by the</w:t>
      </w:r>
      <w:r>
        <w:t xml:space="preserve"> </w:t>
      </w:r>
      <w:r>
        <w:rPr>
          <w:u w:val="single"/>
        </w:rPr>
        <w:t>compliance sof</w:t>
      </w:r>
      <w:r>
        <w:rPr>
          <w:u w:val="single"/>
        </w:rPr>
        <w:t>tware include, but are not limited to, the prerequisite options specified in Section</w:t>
      </w:r>
      <w:r>
        <w:t xml:space="preserve"> </w:t>
      </w:r>
      <w:r>
        <w:rPr>
          <w:u w:val="single"/>
        </w:rPr>
        <w:t>A4.203.1.2, use of Demand Response. additional energy efficiency measures (e.g. triple pane windows),</w:t>
      </w:r>
      <w:r>
        <w:t xml:space="preserve"> </w:t>
      </w:r>
      <w:r>
        <w:rPr>
          <w:u w:val="single"/>
        </w:rPr>
        <w:t>as well as onsite electric battery and/or thermal storage.</w:t>
      </w:r>
    </w:p>
    <w:p w:rsidR="00A13C45" w:rsidRDefault="00A13C45">
      <w:pPr>
        <w:spacing w:line="276" w:lineRule="auto"/>
        <w:sectPr w:rsidR="00A13C45">
          <w:headerReference w:type="default" r:id="rId9"/>
          <w:pgSz w:w="12240" w:h="15840"/>
          <w:pgMar w:top="1360" w:right="1320" w:bottom="280" w:left="1320" w:header="0" w:footer="0" w:gutter="0"/>
          <w:cols w:space="720"/>
        </w:sectPr>
      </w:pPr>
    </w:p>
    <w:p w:rsidR="00A13C45" w:rsidRDefault="00A26171">
      <w:pPr>
        <w:pStyle w:val="BodyText"/>
        <w:spacing w:before="77" w:line="276" w:lineRule="auto"/>
        <w:ind w:left="120" w:right="242"/>
      </w:pPr>
      <w:r>
        <w:rPr>
          <w:b/>
          <w:u w:val="single"/>
        </w:rPr>
        <w:lastRenderedPageBreak/>
        <w:t xml:space="preserve">A4.203.1.4 Consultation with local electric service provider. </w:t>
      </w:r>
      <w:r>
        <w:rPr>
          <w:u w:val="single"/>
        </w:rPr>
        <w:t>Local jurisdictions considering adoption</w:t>
      </w:r>
      <w:r>
        <w:t xml:space="preserve"> </w:t>
      </w:r>
      <w:r>
        <w:rPr>
          <w:u w:val="single"/>
        </w:rPr>
        <w:t>of Tier I as specified by A4.203.1.3.1 or Tier II as specified by A4.203.1.3.2, including local jurisdictions</w:t>
      </w:r>
      <w:r>
        <w:t xml:space="preserve"> </w:t>
      </w:r>
      <w:r>
        <w:rPr>
          <w:u w:val="single"/>
        </w:rPr>
        <w:t>considering community shared solar or storage options consistent with Part 1 Section 10-115, shall</w:t>
      </w:r>
      <w:r>
        <w:t xml:space="preserve"> </w:t>
      </w:r>
      <w:r>
        <w:rPr>
          <w:u w:val="single"/>
        </w:rPr>
        <w:t>consult with the local electric service provider to ensure that that solar system sizing required to comply</w:t>
      </w:r>
      <w:r>
        <w:t xml:space="preserve"> </w:t>
      </w:r>
      <w:r>
        <w:rPr>
          <w:u w:val="single"/>
        </w:rPr>
        <w:t xml:space="preserve">will be acceptable to the local electric service </w:t>
      </w:r>
      <w:r>
        <w:rPr>
          <w:u w:val="single"/>
        </w:rPr>
        <w:t>provider. The local jurisdiction shall not require onsite</w:t>
      </w:r>
      <w:r>
        <w:t xml:space="preserve"> </w:t>
      </w:r>
      <w:r>
        <w:rPr>
          <w:u w:val="single"/>
        </w:rPr>
        <w:t>renewable energy generation systems that are larger than the local electric service provider will allow to</w:t>
      </w:r>
      <w:r>
        <w:t xml:space="preserve"> </w:t>
      </w:r>
      <w:r>
        <w:rPr>
          <w:u w:val="single"/>
        </w:rPr>
        <w:t>be interconnected.</w:t>
      </w:r>
    </w:p>
    <w:p w:rsidR="00A13C45" w:rsidRDefault="00A13C45">
      <w:pPr>
        <w:pStyle w:val="BodyText"/>
        <w:spacing w:before="4"/>
        <w:rPr>
          <w:sz w:val="9"/>
        </w:rPr>
      </w:pPr>
    </w:p>
    <w:p w:rsidR="00A13C45" w:rsidRDefault="00A26171">
      <w:pPr>
        <w:pStyle w:val="BodyText"/>
        <w:spacing w:before="93" w:line="278" w:lineRule="auto"/>
        <w:ind w:left="120" w:right="117"/>
      </w:pPr>
      <w:r>
        <w:rPr>
          <w:b/>
          <w:strike/>
        </w:rPr>
        <w:t xml:space="preserve">A4.203.1.2.3 Zero net energy design. </w:t>
      </w:r>
      <w:r>
        <w:rPr>
          <w:strike/>
        </w:rPr>
        <w:t>Buildings complying with this elec</w:t>
      </w:r>
      <w:r>
        <w:rPr>
          <w:strike/>
        </w:rPr>
        <w:t>tive designation shall have on-</w:t>
      </w:r>
      <w:r>
        <w:t xml:space="preserve"> </w:t>
      </w:r>
      <w:r>
        <w:rPr>
          <w:strike/>
        </w:rPr>
        <w:t>site renewable energy generation sufficient to achieve an Energy Design Rating of zero (0) as calculated</w:t>
      </w:r>
      <w:r>
        <w:t xml:space="preserve"> </w:t>
      </w:r>
      <w:r>
        <w:rPr>
          <w:strike/>
        </w:rPr>
        <w:t>by Title 24, Part 6 Compliance Software approved by the Energy Commission, and:</w:t>
      </w:r>
    </w:p>
    <w:p w:rsidR="00A13C45" w:rsidRDefault="00A13C45">
      <w:pPr>
        <w:pStyle w:val="BodyText"/>
        <w:spacing w:before="11"/>
        <w:rPr>
          <w:sz w:val="8"/>
        </w:rPr>
      </w:pPr>
    </w:p>
    <w:p w:rsidR="00A13C45" w:rsidRDefault="00A26171">
      <w:pPr>
        <w:pStyle w:val="ListParagraph"/>
        <w:numPr>
          <w:ilvl w:val="0"/>
          <w:numId w:val="8"/>
        </w:numPr>
        <w:tabs>
          <w:tab w:val="left" w:pos="396"/>
        </w:tabs>
        <w:spacing w:line="278" w:lineRule="auto"/>
        <w:ind w:right="220" w:firstLine="0"/>
        <w:rPr>
          <w:sz w:val="20"/>
        </w:rPr>
      </w:pPr>
      <w:r>
        <w:rPr>
          <w:strike/>
          <w:sz w:val="20"/>
        </w:rPr>
        <w:t>Single-family buildings in Climate Zones 6 and 7, and low-rise multifamily buildings in Climate Zone 3, 5, 6, and 7 shall comply with Section A4.203.1.2.1 (Tier 1);</w:t>
      </w:r>
      <w:r>
        <w:rPr>
          <w:strike/>
          <w:spacing w:val="-8"/>
          <w:sz w:val="20"/>
        </w:rPr>
        <w:t xml:space="preserve"> </w:t>
      </w:r>
      <w:r>
        <w:rPr>
          <w:strike/>
          <w:sz w:val="20"/>
        </w:rPr>
        <w:t>and</w:t>
      </w:r>
    </w:p>
    <w:p w:rsidR="00A13C45" w:rsidRDefault="00A13C45">
      <w:pPr>
        <w:pStyle w:val="BodyText"/>
        <w:spacing w:before="8"/>
        <w:rPr>
          <w:sz w:val="8"/>
        </w:rPr>
      </w:pPr>
    </w:p>
    <w:p w:rsidR="00A13C45" w:rsidRDefault="00A26171">
      <w:pPr>
        <w:pStyle w:val="ListParagraph"/>
        <w:numPr>
          <w:ilvl w:val="0"/>
          <w:numId w:val="8"/>
        </w:numPr>
        <w:tabs>
          <w:tab w:val="left" w:pos="396"/>
        </w:tabs>
        <w:spacing w:line="280" w:lineRule="auto"/>
        <w:ind w:right="141" w:firstLine="0"/>
        <w:rPr>
          <w:sz w:val="20"/>
        </w:rPr>
      </w:pPr>
      <w:r>
        <w:rPr>
          <w:strike/>
          <w:sz w:val="20"/>
        </w:rPr>
        <w:t>Single-family buildings in Climate Zones 1 through 5 and 8 through 16 and low-rise mul</w:t>
      </w:r>
      <w:r>
        <w:rPr>
          <w:strike/>
          <w:sz w:val="20"/>
        </w:rPr>
        <w:t>tifamily building in Climate Zones 1, 2, 4, and 8 through 16 shall comply with Section A4.203.1.2.2 (Tier</w:t>
      </w:r>
      <w:r>
        <w:rPr>
          <w:strike/>
          <w:spacing w:val="-22"/>
          <w:sz w:val="20"/>
        </w:rPr>
        <w:t xml:space="preserve"> </w:t>
      </w:r>
      <w:r>
        <w:rPr>
          <w:strike/>
          <w:sz w:val="20"/>
        </w:rPr>
        <w:t>2).</w:t>
      </w:r>
    </w:p>
    <w:p w:rsidR="00A13C45" w:rsidRDefault="00A13C45">
      <w:pPr>
        <w:pStyle w:val="BodyText"/>
        <w:spacing w:before="9"/>
        <w:rPr>
          <w:sz w:val="8"/>
        </w:rPr>
      </w:pPr>
    </w:p>
    <w:p w:rsidR="00A13C45" w:rsidRDefault="00A26171">
      <w:pPr>
        <w:pStyle w:val="BodyText"/>
        <w:spacing w:before="93"/>
        <w:ind w:left="120"/>
      </w:pPr>
      <w:r>
        <w:rPr>
          <w:strike/>
        </w:rPr>
        <w:t>Note:</w:t>
      </w:r>
    </w:p>
    <w:p w:rsidR="00A13C45" w:rsidRDefault="00A13C45">
      <w:pPr>
        <w:pStyle w:val="BodyText"/>
        <w:spacing w:before="3"/>
        <w:rPr>
          <w:sz w:val="12"/>
        </w:rPr>
      </w:pPr>
    </w:p>
    <w:p w:rsidR="00A13C45" w:rsidRDefault="00A26171">
      <w:pPr>
        <w:pStyle w:val="BodyText"/>
        <w:spacing w:before="92" w:line="278" w:lineRule="auto"/>
        <w:ind w:left="120"/>
      </w:pPr>
      <w:r>
        <w:rPr>
          <w:strike/>
        </w:rPr>
        <w:t>For Energy Budget calculations, high-rise residential and hotel/motel buildings are considered</w:t>
      </w:r>
      <w:r>
        <w:t xml:space="preserve"> </w:t>
      </w:r>
      <w:r>
        <w:rPr>
          <w:strike/>
        </w:rPr>
        <w:t>nonresidential buildings.</w:t>
      </w:r>
    </w:p>
    <w:p w:rsidR="00A13C45" w:rsidRDefault="00A13C45">
      <w:pPr>
        <w:spacing w:line="278" w:lineRule="auto"/>
        <w:sectPr w:rsidR="00A13C45">
          <w:headerReference w:type="default" r:id="rId10"/>
          <w:pgSz w:w="12240" w:h="15840"/>
          <w:pgMar w:top="1360" w:right="1320" w:bottom="280" w:left="1320" w:header="0" w:footer="0" w:gutter="0"/>
          <w:cols w:space="720"/>
        </w:sectPr>
      </w:pPr>
    </w:p>
    <w:p w:rsidR="00A13C45" w:rsidRDefault="00A26171">
      <w:pPr>
        <w:pStyle w:val="Heading2"/>
        <w:spacing w:before="79"/>
        <w:ind w:left="3984" w:right="3984"/>
      </w:pPr>
      <w:r>
        <w:rPr>
          <w:strike/>
        </w:rPr>
        <w:lastRenderedPageBreak/>
        <w:t>SE</w:t>
      </w:r>
      <w:r>
        <w:rPr>
          <w:strike/>
        </w:rPr>
        <w:t>CTION A4.204</w:t>
      </w:r>
    </w:p>
    <w:p w:rsidR="00A13C45" w:rsidRDefault="00A13C45">
      <w:pPr>
        <w:pStyle w:val="BodyText"/>
        <w:spacing w:before="5"/>
        <w:rPr>
          <w:b/>
          <w:sz w:val="12"/>
        </w:rPr>
      </w:pPr>
    </w:p>
    <w:p w:rsidR="00A13C45" w:rsidRDefault="00A26171">
      <w:pPr>
        <w:spacing w:before="93"/>
        <w:ind w:left="2599"/>
        <w:rPr>
          <w:b/>
          <w:sz w:val="20"/>
        </w:rPr>
      </w:pPr>
      <w:r>
        <w:rPr>
          <w:b/>
          <w:strike/>
          <w:sz w:val="20"/>
        </w:rPr>
        <w:t>PERFORMANCE APPROACH FOR ADDITIONS</w:t>
      </w:r>
    </w:p>
    <w:p w:rsidR="00A13C45" w:rsidRDefault="00A13C45">
      <w:pPr>
        <w:pStyle w:val="BodyText"/>
        <w:rPr>
          <w:b/>
          <w:sz w:val="12"/>
        </w:rPr>
      </w:pPr>
    </w:p>
    <w:p w:rsidR="00A13C45" w:rsidRDefault="00A26171">
      <w:pPr>
        <w:spacing w:before="93" w:line="280" w:lineRule="auto"/>
        <w:ind w:left="120" w:right="933"/>
        <w:rPr>
          <w:sz w:val="20"/>
        </w:rPr>
      </w:pPr>
      <w:r>
        <w:rPr>
          <w:b/>
          <w:strike/>
          <w:sz w:val="20"/>
        </w:rPr>
        <w:t xml:space="preserve">A4.204.1 Energy efficiency. </w:t>
      </w:r>
      <w:r>
        <w:rPr>
          <w:strike/>
          <w:sz w:val="20"/>
        </w:rPr>
        <w:t>Additions to low-rise residential buildings shall comply with Section</w:t>
      </w:r>
      <w:r>
        <w:rPr>
          <w:sz w:val="20"/>
        </w:rPr>
        <w:t xml:space="preserve"> </w:t>
      </w:r>
      <w:r>
        <w:rPr>
          <w:strike/>
          <w:sz w:val="20"/>
        </w:rPr>
        <w:t>A4.204.1.1 or A4.204.1.2.</w:t>
      </w:r>
    </w:p>
    <w:p w:rsidR="00A13C45" w:rsidRDefault="00A26171">
      <w:pPr>
        <w:pStyle w:val="BodyText"/>
        <w:spacing w:before="191" w:line="276" w:lineRule="auto"/>
        <w:ind w:left="120"/>
      </w:pPr>
      <w:r>
        <w:rPr>
          <w:b/>
          <w:strike/>
        </w:rPr>
        <w:t xml:space="preserve">A4.204.1.1 Tier 1. </w:t>
      </w:r>
      <w:r>
        <w:rPr>
          <w:strike/>
        </w:rPr>
        <w:t>Buildings complying with the first level of advanced energy efficiency shall have an</w:t>
      </w:r>
      <w:r>
        <w:t xml:space="preserve"> </w:t>
      </w:r>
      <w:r>
        <w:rPr>
          <w:strike/>
        </w:rPr>
        <w:t>Energy Budget that is no greater than indicated below, depending on the number of mechanical systems</w:t>
      </w:r>
      <w:r>
        <w:t xml:space="preserve"> </w:t>
      </w:r>
      <w:r>
        <w:rPr>
          <w:strike/>
        </w:rPr>
        <w:t xml:space="preserve">added. Space heating systems, space cooling systems and water heating </w:t>
      </w:r>
      <w:r>
        <w:rPr>
          <w:strike/>
        </w:rPr>
        <w:t>systems are each separate</w:t>
      </w:r>
      <w:r>
        <w:t xml:space="preserve"> </w:t>
      </w:r>
      <w:r>
        <w:rPr>
          <w:strike/>
        </w:rPr>
        <w:t>mechanical systems for the purpose of complying with this requirement. If the addition changes only the</w:t>
      </w:r>
      <w:r>
        <w:t xml:space="preserve"> </w:t>
      </w:r>
      <w:r>
        <w:rPr>
          <w:strike/>
        </w:rPr>
        <w:t>envelope with no change to any mechanical system, then no additional performance requirements above</w:t>
      </w:r>
      <w:r>
        <w:t xml:space="preserve"> </w:t>
      </w:r>
      <w:r>
        <w:rPr>
          <w:strike/>
        </w:rPr>
        <w:t>Title 24, Part 6 are requi</w:t>
      </w:r>
      <w:r>
        <w:rPr>
          <w:strike/>
        </w:rPr>
        <w:t>red.</w:t>
      </w:r>
    </w:p>
    <w:p w:rsidR="00A13C45" w:rsidRDefault="00A13C45">
      <w:pPr>
        <w:pStyle w:val="BodyText"/>
        <w:spacing w:before="5"/>
        <w:rPr>
          <w:sz w:val="9"/>
        </w:rPr>
      </w:pPr>
    </w:p>
    <w:p w:rsidR="00A13C45" w:rsidRDefault="00A26171">
      <w:pPr>
        <w:pStyle w:val="ListParagraph"/>
        <w:numPr>
          <w:ilvl w:val="0"/>
          <w:numId w:val="7"/>
        </w:numPr>
        <w:tabs>
          <w:tab w:val="left" w:pos="396"/>
        </w:tabs>
        <w:spacing w:line="278" w:lineRule="auto"/>
        <w:ind w:right="416" w:firstLine="0"/>
        <w:jc w:val="both"/>
        <w:rPr>
          <w:sz w:val="20"/>
        </w:rPr>
      </w:pPr>
      <w:r>
        <w:rPr>
          <w:strike/>
          <w:sz w:val="20"/>
        </w:rPr>
        <w:t>For one and only one mechanical system: No greater than 95 percent of the Title 24, Part 6 Energy Budget for the Standard Design Building as calculated by Compliance Software certified by the Energy Commission.</w:t>
      </w:r>
    </w:p>
    <w:p w:rsidR="00A13C45" w:rsidRDefault="00A13C45">
      <w:pPr>
        <w:pStyle w:val="BodyText"/>
        <w:spacing w:before="8"/>
        <w:rPr>
          <w:sz w:val="8"/>
        </w:rPr>
      </w:pPr>
    </w:p>
    <w:p w:rsidR="00A13C45" w:rsidRDefault="00A26171">
      <w:pPr>
        <w:pStyle w:val="ListParagraph"/>
        <w:numPr>
          <w:ilvl w:val="0"/>
          <w:numId w:val="7"/>
        </w:numPr>
        <w:tabs>
          <w:tab w:val="left" w:pos="396"/>
        </w:tabs>
        <w:spacing w:line="278" w:lineRule="auto"/>
        <w:ind w:right="144" w:firstLine="0"/>
        <w:rPr>
          <w:sz w:val="20"/>
        </w:rPr>
      </w:pPr>
      <w:r>
        <w:rPr>
          <w:strike/>
          <w:sz w:val="20"/>
        </w:rPr>
        <w:t>For</w:t>
      </w:r>
      <w:r>
        <w:rPr>
          <w:strike/>
          <w:spacing w:val="-3"/>
          <w:sz w:val="20"/>
        </w:rPr>
        <w:t xml:space="preserve"> </w:t>
      </w:r>
      <w:r>
        <w:rPr>
          <w:strike/>
          <w:sz w:val="20"/>
        </w:rPr>
        <w:t>two</w:t>
      </w:r>
      <w:r>
        <w:rPr>
          <w:strike/>
          <w:spacing w:val="-3"/>
          <w:sz w:val="20"/>
        </w:rPr>
        <w:t xml:space="preserve"> </w:t>
      </w:r>
      <w:r>
        <w:rPr>
          <w:strike/>
          <w:sz w:val="20"/>
        </w:rPr>
        <w:t>or</w:t>
      </w:r>
      <w:r>
        <w:rPr>
          <w:strike/>
          <w:spacing w:val="-2"/>
          <w:sz w:val="20"/>
        </w:rPr>
        <w:t xml:space="preserve"> </w:t>
      </w:r>
      <w:r>
        <w:rPr>
          <w:strike/>
          <w:sz w:val="20"/>
        </w:rPr>
        <w:t>more</w:t>
      </w:r>
      <w:r>
        <w:rPr>
          <w:strike/>
          <w:spacing w:val="-3"/>
          <w:sz w:val="20"/>
        </w:rPr>
        <w:t xml:space="preserve"> </w:t>
      </w:r>
      <w:r>
        <w:rPr>
          <w:strike/>
          <w:sz w:val="20"/>
        </w:rPr>
        <w:t>mechanical</w:t>
      </w:r>
      <w:r>
        <w:rPr>
          <w:strike/>
          <w:spacing w:val="-3"/>
          <w:sz w:val="20"/>
        </w:rPr>
        <w:t xml:space="preserve"> </w:t>
      </w:r>
      <w:r>
        <w:rPr>
          <w:strike/>
          <w:sz w:val="20"/>
        </w:rPr>
        <w:t>systems:</w:t>
      </w:r>
      <w:r>
        <w:rPr>
          <w:strike/>
          <w:spacing w:val="-3"/>
          <w:sz w:val="20"/>
        </w:rPr>
        <w:t xml:space="preserve"> </w:t>
      </w:r>
      <w:r>
        <w:rPr>
          <w:strike/>
          <w:sz w:val="20"/>
        </w:rPr>
        <w:t>No</w:t>
      </w:r>
      <w:r>
        <w:rPr>
          <w:strike/>
          <w:spacing w:val="-3"/>
          <w:sz w:val="20"/>
        </w:rPr>
        <w:t xml:space="preserve"> </w:t>
      </w:r>
      <w:r>
        <w:rPr>
          <w:strike/>
          <w:sz w:val="20"/>
        </w:rPr>
        <w:t>greater than</w:t>
      </w:r>
      <w:r>
        <w:rPr>
          <w:strike/>
          <w:spacing w:val="-2"/>
          <w:sz w:val="20"/>
        </w:rPr>
        <w:t xml:space="preserve"> </w:t>
      </w:r>
      <w:r>
        <w:rPr>
          <w:strike/>
          <w:sz w:val="20"/>
        </w:rPr>
        <w:t>90</w:t>
      </w:r>
      <w:r>
        <w:rPr>
          <w:strike/>
          <w:spacing w:val="-3"/>
          <w:sz w:val="20"/>
        </w:rPr>
        <w:t xml:space="preserve"> </w:t>
      </w:r>
      <w:r>
        <w:rPr>
          <w:strike/>
          <w:sz w:val="20"/>
        </w:rPr>
        <w:t>percent</w:t>
      </w:r>
      <w:r>
        <w:rPr>
          <w:strike/>
          <w:spacing w:val="-1"/>
          <w:sz w:val="20"/>
        </w:rPr>
        <w:t xml:space="preserve"> </w:t>
      </w:r>
      <w:r>
        <w:rPr>
          <w:strike/>
          <w:sz w:val="20"/>
        </w:rPr>
        <w:t>of</w:t>
      </w:r>
      <w:r>
        <w:rPr>
          <w:strike/>
          <w:spacing w:val="-1"/>
          <w:sz w:val="20"/>
        </w:rPr>
        <w:t xml:space="preserve"> </w:t>
      </w:r>
      <w:r>
        <w:rPr>
          <w:strike/>
          <w:sz w:val="20"/>
        </w:rPr>
        <w:t>the</w:t>
      </w:r>
      <w:r>
        <w:rPr>
          <w:strike/>
          <w:spacing w:val="-4"/>
          <w:sz w:val="20"/>
        </w:rPr>
        <w:t xml:space="preserve"> </w:t>
      </w:r>
      <w:r>
        <w:rPr>
          <w:strike/>
          <w:sz w:val="20"/>
        </w:rPr>
        <w:t>Title</w:t>
      </w:r>
      <w:r>
        <w:rPr>
          <w:strike/>
          <w:spacing w:val="-1"/>
          <w:sz w:val="20"/>
        </w:rPr>
        <w:t xml:space="preserve"> </w:t>
      </w:r>
      <w:r>
        <w:rPr>
          <w:strike/>
          <w:sz w:val="20"/>
        </w:rPr>
        <w:t>24,</w:t>
      </w:r>
      <w:r>
        <w:rPr>
          <w:strike/>
          <w:spacing w:val="-1"/>
          <w:sz w:val="20"/>
        </w:rPr>
        <w:t xml:space="preserve"> </w:t>
      </w:r>
      <w:r>
        <w:rPr>
          <w:strike/>
          <w:sz w:val="20"/>
        </w:rPr>
        <w:t>Part</w:t>
      </w:r>
      <w:r>
        <w:rPr>
          <w:strike/>
          <w:spacing w:val="-3"/>
          <w:sz w:val="20"/>
        </w:rPr>
        <w:t xml:space="preserve"> </w:t>
      </w:r>
      <w:r>
        <w:rPr>
          <w:strike/>
          <w:sz w:val="20"/>
        </w:rPr>
        <w:t>6</w:t>
      </w:r>
      <w:r>
        <w:rPr>
          <w:strike/>
          <w:spacing w:val="-2"/>
          <w:sz w:val="20"/>
        </w:rPr>
        <w:t xml:space="preserve"> </w:t>
      </w:r>
      <w:r>
        <w:rPr>
          <w:strike/>
          <w:sz w:val="20"/>
        </w:rPr>
        <w:t>Energy</w:t>
      </w:r>
      <w:r>
        <w:rPr>
          <w:strike/>
          <w:spacing w:val="-6"/>
          <w:sz w:val="20"/>
        </w:rPr>
        <w:t xml:space="preserve"> </w:t>
      </w:r>
      <w:r>
        <w:rPr>
          <w:strike/>
          <w:sz w:val="20"/>
        </w:rPr>
        <w:t>Budget for the Standard Design Building as calculated by Compliance Software certified by the Energy Commission.</w:t>
      </w:r>
    </w:p>
    <w:p w:rsidR="00A13C45" w:rsidRDefault="00A26171">
      <w:pPr>
        <w:pStyle w:val="BodyText"/>
        <w:spacing w:before="191" w:line="276" w:lineRule="auto"/>
        <w:ind w:left="120"/>
      </w:pPr>
      <w:r>
        <w:rPr>
          <w:b/>
          <w:strike/>
        </w:rPr>
        <w:t xml:space="preserve">A4.204.1.2 Tier 2. </w:t>
      </w:r>
      <w:r>
        <w:rPr>
          <w:strike/>
        </w:rPr>
        <w:t>Buildings complying with the second level of advanced energy efficiency shall have an</w:t>
      </w:r>
      <w:r>
        <w:t xml:space="preserve"> </w:t>
      </w:r>
      <w:r>
        <w:rPr>
          <w:strike/>
        </w:rPr>
        <w:t>Energy Budget that is no greater than indicated below, depending on the number of mechanical systems</w:t>
      </w:r>
      <w:r>
        <w:t xml:space="preserve"> </w:t>
      </w:r>
      <w:r>
        <w:rPr>
          <w:strike/>
        </w:rPr>
        <w:t>added. Space heating systems, space cooling systems and water heating</w:t>
      </w:r>
      <w:r>
        <w:rPr>
          <w:strike/>
        </w:rPr>
        <w:t xml:space="preserve"> systems are each separate</w:t>
      </w:r>
      <w:r>
        <w:t xml:space="preserve"> </w:t>
      </w:r>
      <w:r>
        <w:rPr>
          <w:strike/>
        </w:rPr>
        <w:t>mechanical systems for the purpose of complying with this requirement. If the addition changes only the</w:t>
      </w:r>
      <w:r>
        <w:t xml:space="preserve"> </w:t>
      </w:r>
      <w:r>
        <w:rPr>
          <w:strike/>
        </w:rPr>
        <w:t>envelope with no change to any mechanical system, then no additional performance requirements above</w:t>
      </w:r>
      <w:r>
        <w:t xml:space="preserve"> </w:t>
      </w:r>
      <w:r>
        <w:rPr>
          <w:strike/>
        </w:rPr>
        <w:t>Title 24, Part 6 are requ</w:t>
      </w:r>
      <w:r>
        <w:rPr>
          <w:strike/>
        </w:rPr>
        <w:t>ired.</w:t>
      </w:r>
    </w:p>
    <w:p w:rsidR="00A13C45" w:rsidRDefault="00A13C45">
      <w:pPr>
        <w:pStyle w:val="BodyText"/>
        <w:spacing w:before="7"/>
        <w:rPr>
          <w:sz w:val="9"/>
        </w:rPr>
      </w:pPr>
    </w:p>
    <w:p w:rsidR="00A13C45" w:rsidRDefault="00A26171">
      <w:pPr>
        <w:pStyle w:val="ListParagraph"/>
        <w:numPr>
          <w:ilvl w:val="0"/>
          <w:numId w:val="6"/>
        </w:numPr>
        <w:tabs>
          <w:tab w:val="left" w:pos="396"/>
        </w:tabs>
        <w:spacing w:line="276" w:lineRule="auto"/>
        <w:ind w:right="417" w:firstLine="0"/>
        <w:jc w:val="both"/>
        <w:rPr>
          <w:sz w:val="20"/>
        </w:rPr>
      </w:pPr>
      <w:r>
        <w:rPr>
          <w:strike/>
          <w:sz w:val="20"/>
        </w:rPr>
        <w:t>For one and only one mechanical system: No greater than 90 percent of the Title 24, Part 6 Energy Budget for the Standard Design Building as calculated by Compliance Software certified by the Energy Commission.</w:t>
      </w:r>
    </w:p>
    <w:p w:rsidR="00A13C45" w:rsidRDefault="00A13C45">
      <w:pPr>
        <w:pStyle w:val="BodyText"/>
        <w:spacing w:before="4"/>
        <w:rPr>
          <w:sz w:val="9"/>
        </w:rPr>
      </w:pPr>
    </w:p>
    <w:p w:rsidR="00A13C45" w:rsidRDefault="00A26171">
      <w:pPr>
        <w:pStyle w:val="ListParagraph"/>
        <w:numPr>
          <w:ilvl w:val="0"/>
          <w:numId w:val="6"/>
        </w:numPr>
        <w:tabs>
          <w:tab w:val="left" w:pos="396"/>
        </w:tabs>
        <w:spacing w:line="276" w:lineRule="auto"/>
        <w:ind w:right="144" w:firstLine="0"/>
        <w:rPr>
          <w:sz w:val="20"/>
        </w:rPr>
      </w:pPr>
      <w:r>
        <w:rPr>
          <w:strike/>
          <w:sz w:val="20"/>
        </w:rPr>
        <w:t>For</w:t>
      </w:r>
      <w:r>
        <w:rPr>
          <w:strike/>
          <w:spacing w:val="-3"/>
          <w:sz w:val="20"/>
        </w:rPr>
        <w:t xml:space="preserve"> </w:t>
      </w:r>
      <w:r>
        <w:rPr>
          <w:strike/>
          <w:sz w:val="20"/>
        </w:rPr>
        <w:t>two</w:t>
      </w:r>
      <w:r>
        <w:rPr>
          <w:strike/>
          <w:spacing w:val="-3"/>
          <w:sz w:val="20"/>
        </w:rPr>
        <w:t xml:space="preserve"> </w:t>
      </w:r>
      <w:r>
        <w:rPr>
          <w:strike/>
          <w:sz w:val="20"/>
        </w:rPr>
        <w:t>or</w:t>
      </w:r>
      <w:r>
        <w:rPr>
          <w:strike/>
          <w:spacing w:val="-2"/>
          <w:sz w:val="20"/>
        </w:rPr>
        <w:t xml:space="preserve"> </w:t>
      </w:r>
      <w:r>
        <w:rPr>
          <w:strike/>
          <w:sz w:val="20"/>
        </w:rPr>
        <w:t>more</w:t>
      </w:r>
      <w:r>
        <w:rPr>
          <w:strike/>
          <w:spacing w:val="-3"/>
          <w:sz w:val="20"/>
        </w:rPr>
        <w:t xml:space="preserve"> </w:t>
      </w:r>
      <w:r>
        <w:rPr>
          <w:strike/>
          <w:sz w:val="20"/>
        </w:rPr>
        <w:t>mechanical</w:t>
      </w:r>
      <w:r>
        <w:rPr>
          <w:strike/>
          <w:spacing w:val="-3"/>
          <w:sz w:val="20"/>
        </w:rPr>
        <w:t xml:space="preserve"> </w:t>
      </w:r>
      <w:r>
        <w:rPr>
          <w:strike/>
          <w:sz w:val="20"/>
        </w:rPr>
        <w:t>systems:</w:t>
      </w:r>
      <w:r>
        <w:rPr>
          <w:strike/>
          <w:spacing w:val="-3"/>
          <w:sz w:val="20"/>
        </w:rPr>
        <w:t xml:space="preserve"> </w:t>
      </w:r>
      <w:r>
        <w:rPr>
          <w:strike/>
          <w:sz w:val="20"/>
        </w:rPr>
        <w:t>No</w:t>
      </w:r>
      <w:r>
        <w:rPr>
          <w:strike/>
          <w:spacing w:val="-3"/>
          <w:sz w:val="20"/>
        </w:rPr>
        <w:t xml:space="preserve"> </w:t>
      </w:r>
      <w:r>
        <w:rPr>
          <w:strike/>
          <w:sz w:val="20"/>
        </w:rPr>
        <w:t>greater than</w:t>
      </w:r>
      <w:r>
        <w:rPr>
          <w:strike/>
          <w:spacing w:val="-2"/>
          <w:sz w:val="20"/>
        </w:rPr>
        <w:t xml:space="preserve"> </w:t>
      </w:r>
      <w:r>
        <w:rPr>
          <w:strike/>
          <w:sz w:val="20"/>
        </w:rPr>
        <w:t>85</w:t>
      </w:r>
      <w:r>
        <w:rPr>
          <w:strike/>
          <w:spacing w:val="-3"/>
          <w:sz w:val="20"/>
        </w:rPr>
        <w:t xml:space="preserve"> </w:t>
      </w:r>
      <w:r>
        <w:rPr>
          <w:strike/>
          <w:sz w:val="20"/>
        </w:rPr>
        <w:t>percent</w:t>
      </w:r>
      <w:r>
        <w:rPr>
          <w:strike/>
          <w:spacing w:val="-1"/>
          <w:sz w:val="20"/>
        </w:rPr>
        <w:t xml:space="preserve"> </w:t>
      </w:r>
      <w:r>
        <w:rPr>
          <w:strike/>
          <w:sz w:val="20"/>
        </w:rPr>
        <w:t>of</w:t>
      </w:r>
      <w:r>
        <w:rPr>
          <w:strike/>
          <w:spacing w:val="-1"/>
          <w:sz w:val="20"/>
        </w:rPr>
        <w:t xml:space="preserve"> </w:t>
      </w:r>
      <w:r>
        <w:rPr>
          <w:strike/>
          <w:sz w:val="20"/>
        </w:rPr>
        <w:t>the</w:t>
      </w:r>
      <w:r>
        <w:rPr>
          <w:strike/>
          <w:spacing w:val="-4"/>
          <w:sz w:val="20"/>
        </w:rPr>
        <w:t xml:space="preserve"> </w:t>
      </w:r>
      <w:r>
        <w:rPr>
          <w:strike/>
          <w:sz w:val="20"/>
        </w:rPr>
        <w:t>Title</w:t>
      </w:r>
      <w:r>
        <w:rPr>
          <w:strike/>
          <w:spacing w:val="-1"/>
          <w:sz w:val="20"/>
        </w:rPr>
        <w:t xml:space="preserve"> </w:t>
      </w:r>
      <w:r>
        <w:rPr>
          <w:strike/>
          <w:sz w:val="20"/>
        </w:rPr>
        <w:t>24,</w:t>
      </w:r>
      <w:r>
        <w:rPr>
          <w:strike/>
          <w:spacing w:val="-1"/>
          <w:sz w:val="20"/>
        </w:rPr>
        <w:t xml:space="preserve"> </w:t>
      </w:r>
      <w:r>
        <w:rPr>
          <w:strike/>
          <w:sz w:val="20"/>
        </w:rPr>
        <w:t>Part</w:t>
      </w:r>
      <w:r>
        <w:rPr>
          <w:strike/>
          <w:spacing w:val="-3"/>
          <w:sz w:val="20"/>
        </w:rPr>
        <w:t xml:space="preserve"> </w:t>
      </w:r>
      <w:r>
        <w:rPr>
          <w:strike/>
          <w:sz w:val="20"/>
        </w:rPr>
        <w:t>6</w:t>
      </w:r>
      <w:r>
        <w:rPr>
          <w:strike/>
          <w:spacing w:val="-2"/>
          <w:sz w:val="20"/>
        </w:rPr>
        <w:t xml:space="preserve"> </w:t>
      </w:r>
      <w:r>
        <w:rPr>
          <w:strike/>
          <w:sz w:val="20"/>
        </w:rPr>
        <w:t>Energy</w:t>
      </w:r>
      <w:r>
        <w:rPr>
          <w:strike/>
          <w:spacing w:val="-6"/>
          <w:sz w:val="20"/>
        </w:rPr>
        <w:t xml:space="preserve"> </w:t>
      </w:r>
      <w:r>
        <w:rPr>
          <w:strike/>
          <w:sz w:val="20"/>
        </w:rPr>
        <w:t>Budget for the Standard Design Building as calculated by Compliance Software certified by the Energy Commission.</w:t>
      </w:r>
    </w:p>
    <w:p w:rsidR="00A13C45" w:rsidRDefault="00A13C45">
      <w:pPr>
        <w:pStyle w:val="BodyText"/>
        <w:spacing w:before="1"/>
        <w:rPr>
          <w:sz w:val="9"/>
        </w:rPr>
      </w:pPr>
    </w:p>
    <w:p w:rsidR="00A13C45" w:rsidRDefault="00A26171" w:rsidP="00615394">
      <w:pPr>
        <w:pStyle w:val="BodyText"/>
        <w:spacing w:before="93" w:line="278" w:lineRule="auto"/>
        <w:ind w:left="120"/>
      </w:pPr>
      <w:r>
        <w:rPr>
          <w:b/>
        </w:rPr>
        <w:t xml:space="preserve">Note: </w:t>
      </w:r>
      <w:r>
        <w:t>For Energy Budget calculations, high-rise residential and hotel/motel building</w:t>
      </w:r>
      <w:r>
        <w:t>s are cons</w:t>
      </w:r>
      <w:r w:rsidR="00615394">
        <w:t>idered nonresidential buildings.</w:t>
      </w:r>
    </w:p>
    <w:p w:rsidR="00615394" w:rsidRPr="00615394" w:rsidRDefault="00615394" w:rsidP="00615394">
      <w:pPr>
        <w:pStyle w:val="BodyText"/>
        <w:spacing w:before="93" w:line="278" w:lineRule="auto"/>
        <w:ind w:left="120"/>
      </w:pPr>
    </w:p>
    <w:p w:rsidR="00A13C45" w:rsidRDefault="00A13C45">
      <w:pPr>
        <w:pStyle w:val="BodyText"/>
        <w:rPr>
          <w:sz w:val="22"/>
        </w:rPr>
      </w:pPr>
    </w:p>
    <w:p w:rsidR="00A13C45" w:rsidRDefault="00A26171">
      <w:pPr>
        <w:pStyle w:val="Heading1"/>
        <w:spacing w:before="166" w:line="276" w:lineRule="auto"/>
      </w:pPr>
      <w:r>
        <w:rPr>
          <w:u w:val="single"/>
        </w:rPr>
        <w:t xml:space="preserve">Note: </w:t>
      </w:r>
      <w:r>
        <w:rPr>
          <w:u w:val="single"/>
        </w:rPr>
        <w:t>Authority: Sections 25213, 25218, 25218.5, 25402 and 25402.1, Public Resources Code.</w:t>
      </w:r>
      <w:r>
        <w:t xml:space="preserve"> </w:t>
      </w:r>
      <w:r>
        <w:rPr>
          <w:u w:val="single"/>
        </w:rPr>
        <w:t>Reference: Sections 25402, 25402.1, 25402.4, and 25402.8, Public Resources Code</w:t>
      </w:r>
    </w:p>
    <w:p w:rsidR="00A13C45" w:rsidRDefault="00A13C45">
      <w:pPr>
        <w:spacing w:line="276" w:lineRule="auto"/>
        <w:sectPr w:rsidR="00A13C45">
          <w:headerReference w:type="default" r:id="rId11"/>
          <w:pgSz w:w="12240" w:h="15840"/>
          <w:pgMar w:top="1360" w:right="1320" w:bottom="280" w:left="1320" w:header="0" w:footer="0" w:gutter="0"/>
          <w:cols w:space="720"/>
        </w:sectPr>
      </w:pPr>
    </w:p>
    <w:p w:rsidR="00A13C45" w:rsidRDefault="00A13C45">
      <w:pPr>
        <w:pStyle w:val="BodyText"/>
        <w:spacing w:before="7"/>
        <w:rPr>
          <w:rFonts w:ascii="Calibri"/>
          <w:sz w:val="25"/>
        </w:rPr>
      </w:pPr>
    </w:p>
    <w:p w:rsidR="001A3587" w:rsidRDefault="00A26171" w:rsidP="001A3587">
      <w:pPr>
        <w:pStyle w:val="Heading1"/>
      </w:pPr>
      <w:r>
        <w:t xml:space="preserve">APPENDIX A5 </w:t>
      </w:r>
    </w:p>
    <w:p w:rsidR="001A3587" w:rsidRDefault="00A26171" w:rsidP="001A3587">
      <w:pPr>
        <w:pStyle w:val="Heading1"/>
      </w:pPr>
      <w:r>
        <w:t>NONRESIDENTIAL VOLUNTARY MEASURES</w:t>
      </w:r>
    </w:p>
    <w:p w:rsidR="00A13C45" w:rsidRDefault="00A26171">
      <w:pPr>
        <w:spacing w:before="6"/>
        <w:ind w:left="3016"/>
        <w:rPr>
          <w:b/>
          <w:i/>
          <w:sz w:val="20"/>
        </w:rPr>
      </w:pPr>
      <w:r>
        <w:rPr>
          <w:b/>
          <w:i/>
          <w:sz w:val="20"/>
        </w:rPr>
        <w:t>Division A5.2 – ENERGY EFFICIENCY</w:t>
      </w:r>
    </w:p>
    <w:p w:rsidR="00A13C45" w:rsidRDefault="00A13C45">
      <w:pPr>
        <w:pStyle w:val="BodyText"/>
        <w:spacing w:before="1"/>
        <w:rPr>
          <w:b/>
          <w:i/>
        </w:rPr>
      </w:pPr>
    </w:p>
    <w:p w:rsidR="00A13C45" w:rsidRDefault="00A26171">
      <w:pPr>
        <w:spacing w:line="484" w:lineRule="auto"/>
        <w:ind w:left="3984" w:right="3985"/>
        <w:jc w:val="center"/>
        <w:rPr>
          <w:b/>
          <w:sz w:val="20"/>
        </w:rPr>
      </w:pPr>
      <w:r>
        <w:rPr>
          <w:b/>
          <w:sz w:val="20"/>
        </w:rPr>
        <w:t>SECTION A5.201 GENERAL</w:t>
      </w:r>
    </w:p>
    <w:p w:rsidR="00A13C45" w:rsidRDefault="00A26171">
      <w:pPr>
        <w:pStyle w:val="BodyText"/>
        <w:spacing w:line="276" w:lineRule="auto"/>
        <w:ind w:left="120" w:right="152"/>
      </w:pPr>
      <w:r>
        <w:rPr>
          <w:b/>
        </w:rPr>
        <w:t xml:space="preserve">A5.201.1 Scope. </w:t>
      </w:r>
      <w:r>
        <w:t>For the purposes of mandatory energy efficiency standards in this code, the California Energy Commission will continue to adopt mandator</w:t>
      </w:r>
      <w:r>
        <w:t>y standards. It is the intent of these voluntary provisions to encourage local jurisdictions through codification to achieve exemplary performance in the area of building energy efficiency. Local jurisdictions adopting these voluntary provisions as mandato</w:t>
      </w:r>
      <w:r>
        <w:t xml:space="preserve">ry local energy efficiency standards shall submit the required application and receive the required approval of the California Energy Commission in compliance with </w:t>
      </w:r>
      <w:r>
        <w:rPr>
          <w:u w:val="single"/>
        </w:rPr>
        <w:t>Title 24, Part 1, Section 10-106</w:t>
      </w:r>
      <w:r>
        <w:rPr>
          <w:strike/>
        </w:rPr>
        <w:t>Chapter 10,</w:t>
      </w:r>
      <w:r>
        <w:t xml:space="preserve"> </w:t>
      </w:r>
      <w:r>
        <w:rPr>
          <w:strike/>
        </w:rPr>
        <w:t xml:space="preserve">Section 106 of the </w:t>
      </w:r>
      <w:r>
        <w:rPr>
          <w:i/>
          <w:strike/>
        </w:rPr>
        <w:t>California Administrative Cod</w:t>
      </w:r>
      <w:r>
        <w:rPr>
          <w:i/>
          <w:strike/>
        </w:rPr>
        <w:t>e</w:t>
      </w:r>
      <w:r>
        <w:rPr>
          <w:strike/>
        </w:rPr>
        <w:t>,</w:t>
      </w:r>
      <w:r>
        <w:t xml:space="preserve"> prior to enforcement. Once approval is granted by the Energy Commission, local jurisdictions shall file an ordinance expressly marking the local modifications along with findings and receive the required acceptance from the California Building Standards</w:t>
      </w:r>
      <w:r>
        <w:t xml:space="preserve"> Commission in compliance with Section 101.7 of this code, prior to enforcement. (</w:t>
      </w:r>
      <w:r>
        <w:rPr>
          <w:u w:val="single"/>
        </w:rPr>
        <w:t>Title 24, Part 1, Section</w:t>
      </w:r>
      <w:r>
        <w:t xml:space="preserve"> </w:t>
      </w:r>
      <w:r>
        <w:rPr>
          <w:u w:val="single"/>
        </w:rPr>
        <w:t>10-106</w:t>
      </w:r>
      <w:r>
        <w:rPr>
          <w:strike/>
        </w:rPr>
        <w:t xml:space="preserve">Chapter 10, Section 106 of the </w:t>
      </w:r>
      <w:r>
        <w:rPr>
          <w:i/>
          <w:strike/>
        </w:rPr>
        <w:t>California Administrative Code</w:t>
      </w:r>
      <w:r>
        <w:rPr>
          <w:i/>
        </w:rPr>
        <w:t xml:space="preserve"> </w:t>
      </w:r>
      <w:r>
        <w:t xml:space="preserve">is available at </w:t>
      </w:r>
      <w:hyperlink r:id="rId12">
        <w:r w:rsidR="00D1593E">
          <w:rPr>
            <w:color w:val="0000FF"/>
            <w:u w:val="single" w:color="0000FF"/>
          </w:rPr>
          <w:t>Energy Commission http://www.energy.ca.gov/title24/2019standards/</w:t>
        </w:r>
      </w:hyperlink>
      <w:r>
        <w:t>)</w:t>
      </w:r>
    </w:p>
    <w:p w:rsidR="00A13C45" w:rsidRDefault="00A13C45">
      <w:pPr>
        <w:spacing w:line="276" w:lineRule="auto"/>
        <w:sectPr w:rsidR="00A13C45">
          <w:headerReference w:type="default" r:id="rId13"/>
          <w:pgSz w:w="12240" w:h="15840"/>
          <w:pgMar w:top="1500" w:right="1320" w:bottom="280" w:left="1320" w:header="0" w:footer="0" w:gutter="0"/>
          <w:cols w:space="720"/>
        </w:sectPr>
      </w:pPr>
    </w:p>
    <w:p w:rsidR="00A13C45" w:rsidRDefault="00A13C45">
      <w:pPr>
        <w:pStyle w:val="BodyText"/>
        <w:spacing w:before="5"/>
        <w:rPr>
          <w:sz w:val="12"/>
        </w:rPr>
      </w:pPr>
    </w:p>
    <w:p w:rsidR="00C07A03" w:rsidRDefault="00C07A03" w:rsidP="00C07A03">
      <w:pPr>
        <w:spacing w:before="12"/>
        <w:ind w:left="20"/>
        <w:jc w:val="center"/>
        <w:rPr>
          <w:b/>
          <w:sz w:val="20"/>
        </w:rPr>
      </w:pPr>
      <w:r>
        <w:rPr>
          <w:b/>
          <w:sz w:val="20"/>
        </w:rPr>
        <w:t>SECTION A5.</w:t>
      </w:r>
      <w:r>
        <w:fldChar w:fldCharType="begin"/>
      </w:r>
      <w:r>
        <w:rPr>
          <w:b/>
          <w:sz w:val="20"/>
        </w:rPr>
        <w:instrText xml:space="preserve"> PAGE </w:instrText>
      </w:r>
      <w:r>
        <w:fldChar w:fldCharType="separate"/>
      </w:r>
      <w:r>
        <w:rPr>
          <w:b/>
          <w:noProof/>
          <w:sz w:val="20"/>
        </w:rPr>
        <w:t>202</w:t>
      </w:r>
      <w:r>
        <w:fldChar w:fldCharType="end"/>
      </w:r>
    </w:p>
    <w:p w:rsidR="00A13C45" w:rsidRDefault="00A26171" w:rsidP="00C07A03">
      <w:pPr>
        <w:pStyle w:val="Heading2"/>
        <w:ind w:left="4166"/>
        <w:jc w:val="left"/>
      </w:pPr>
      <w:r>
        <w:t>DEFINITIONS</w:t>
      </w:r>
    </w:p>
    <w:p w:rsidR="00A13C45" w:rsidRDefault="00A13C45">
      <w:pPr>
        <w:pStyle w:val="BodyText"/>
        <w:spacing w:before="3"/>
        <w:rPr>
          <w:b/>
        </w:rPr>
      </w:pPr>
    </w:p>
    <w:p w:rsidR="00A13C45" w:rsidRDefault="00A26171">
      <w:pPr>
        <w:spacing w:before="1"/>
        <w:ind w:left="119"/>
        <w:rPr>
          <w:sz w:val="20"/>
        </w:rPr>
      </w:pPr>
      <w:r>
        <w:rPr>
          <w:b/>
          <w:sz w:val="20"/>
        </w:rPr>
        <w:t xml:space="preserve">A5.202.1 Definitions. </w:t>
      </w:r>
      <w:r>
        <w:rPr>
          <w:sz w:val="20"/>
        </w:rPr>
        <w:t>The following terms are defined in Chapter 2.</w:t>
      </w:r>
    </w:p>
    <w:p w:rsidR="00A13C45" w:rsidRDefault="00A13C45">
      <w:pPr>
        <w:pStyle w:val="BodyText"/>
        <w:spacing w:before="5"/>
      </w:pPr>
    </w:p>
    <w:p w:rsidR="00A13C45" w:rsidRDefault="00A26171">
      <w:pPr>
        <w:pStyle w:val="Heading2"/>
        <w:spacing w:before="0" w:line="484" w:lineRule="auto"/>
        <w:ind w:right="7660"/>
      </w:pPr>
      <w:r>
        <w:t>ENERGY BUDGET. GEOTHERMAL. PROCESS.</w:t>
      </w:r>
    </w:p>
    <w:p w:rsidR="00A13C45" w:rsidRDefault="00A26171">
      <w:pPr>
        <w:spacing w:line="228" w:lineRule="exact"/>
        <w:ind w:left="119"/>
        <w:rPr>
          <w:b/>
          <w:sz w:val="20"/>
        </w:rPr>
      </w:pPr>
      <w:r>
        <w:rPr>
          <w:b/>
          <w:sz w:val="20"/>
        </w:rPr>
        <w:t>SOLAR ACCESS.</w:t>
      </w:r>
    </w:p>
    <w:p w:rsidR="00A13C45" w:rsidRDefault="00A13C45">
      <w:pPr>
        <w:pStyle w:val="BodyText"/>
        <w:spacing w:before="6"/>
        <w:rPr>
          <w:b/>
        </w:rPr>
      </w:pPr>
    </w:p>
    <w:p w:rsidR="00A13C45" w:rsidRDefault="00A26171">
      <w:pPr>
        <w:ind w:left="119"/>
        <w:rPr>
          <w:b/>
          <w:sz w:val="20"/>
        </w:rPr>
      </w:pPr>
      <w:r>
        <w:rPr>
          <w:b/>
          <w:sz w:val="20"/>
        </w:rPr>
        <w:t>TIME DEPENDENT VALUATION (TDV).</w:t>
      </w:r>
    </w:p>
    <w:p w:rsidR="00A13C45" w:rsidRDefault="00A13C45">
      <w:pPr>
        <w:rPr>
          <w:sz w:val="20"/>
        </w:rPr>
        <w:sectPr w:rsidR="00A13C45" w:rsidSect="00C07A03">
          <w:headerReference w:type="default" r:id="rId14"/>
          <w:pgSz w:w="12240" w:h="15840"/>
          <w:pgMar w:top="1080" w:right="1320" w:bottom="280" w:left="1320" w:header="1447" w:footer="0" w:gutter="0"/>
          <w:pgNumType w:start="202"/>
          <w:cols w:space="720"/>
        </w:sectPr>
      </w:pPr>
    </w:p>
    <w:p w:rsidR="00A13C45" w:rsidRDefault="00C07A03" w:rsidP="00C07A03">
      <w:pPr>
        <w:pStyle w:val="BodyText"/>
        <w:spacing w:before="5"/>
        <w:jc w:val="center"/>
        <w:rPr>
          <w:b/>
          <w:sz w:val="12"/>
        </w:rPr>
      </w:pPr>
      <w:r>
        <w:rPr>
          <w:b/>
          <w:bCs/>
        </w:rPr>
        <w:lastRenderedPageBreak/>
        <w:t>SECTION A5.203</w:t>
      </w:r>
    </w:p>
    <w:p w:rsidR="00A13C45" w:rsidRDefault="00A26171" w:rsidP="00A26171">
      <w:pPr>
        <w:pStyle w:val="Heading2"/>
      </w:pPr>
      <w:r>
        <w:t>PERFORMANCE APPROACH</w:t>
      </w:r>
    </w:p>
    <w:p w:rsidR="00A13C45" w:rsidRDefault="00A13C45">
      <w:pPr>
        <w:pStyle w:val="BodyText"/>
        <w:spacing w:before="1"/>
        <w:rPr>
          <w:b/>
        </w:rPr>
      </w:pPr>
    </w:p>
    <w:p w:rsidR="00A13C45" w:rsidRDefault="00A26171">
      <w:pPr>
        <w:pStyle w:val="BodyText"/>
        <w:spacing w:line="276" w:lineRule="auto"/>
        <w:ind w:left="119"/>
      </w:pPr>
      <w:r>
        <w:rPr>
          <w:b/>
        </w:rPr>
        <w:t xml:space="preserve">A5.203.1 Energy efficiency. </w:t>
      </w:r>
      <w:r>
        <w:t xml:space="preserve">Nonresidential, high-rise residential and hotel/motel buildings that include lighting and/or mechanical systems shall comply with Sections A5.203.1.1 and </w:t>
      </w:r>
      <w:r>
        <w:rPr>
          <w:strike/>
        </w:rPr>
        <w:t xml:space="preserve">either </w:t>
      </w:r>
      <w:r>
        <w:t>A5.203.1.2.</w:t>
      </w:r>
      <w:r>
        <w:rPr>
          <w:strike/>
        </w:rPr>
        <w:t>1 or</w:t>
      </w:r>
      <w:r>
        <w:t xml:space="preserve"> </w:t>
      </w:r>
      <w:r>
        <w:rPr>
          <w:strike/>
        </w:rPr>
        <w:t>A5.203.1.2.2.</w:t>
      </w:r>
      <w:r>
        <w:t xml:space="preserve"> Newly constructed buildings and additions are included in the scope of these sections.</w:t>
      </w:r>
    </w:p>
    <w:p w:rsidR="00A13C45" w:rsidRDefault="00A26171">
      <w:pPr>
        <w:pStyle w:val="BodyText"/>
        <w:spacing w:before="4" w:line="278" w:lineRule="auto"/>
        <w:ind w:left="120" w:right="117"/>
      </w:pPr>
      <w:r>
        <w:t xml:space="preserve">Buildings permitted without lighting or mechanical systems shall comply with Section A5.203.1.1 but are not required to comply with </w:t>
      </w:r>
      <w:r>
        <w:rPr>
          <w:strike/>
        </w:rPr>
        <w:t xml:space="preserve">Sections A5.203.1.1.2 </w:t>
      </w:r>
      <w:r>
        <w:rPr>
          <w:strike/>
        </w:rPr>
        <w:t>or</w:t>
      </w:r>
      <w:r>
        <w:rPr>
          <w:u w:val="single"/>
        </w:rPr>
        <w:t>Section</w:t>
      </w:r>
      <w:r>
        <w:t xml:space="preserve"> A5.203.1.2.</w:t>
      </w:r>
    </w:p>
    <w:p w:rsidR="00A13C45" w:rsidRDefault="00A26171">
      <w:pPr>
        <w:pStyle w:val="BodyText"/>
        <w:spacing w:before="191" w:line="278" w:lineRule="auto"/>
        <w:ind w:left="120"/>
      </w:pPr>
      <w:r>
        <w:rPr>
          <w:b/>
        </w:rPr>
        <w:t xml:space="preserve">A5.203.1.1 Tier 1 and Tier 2 prerequisites. </w:t>
      </w:r>
      <w:r>
        <w:rPr>
          <w:strike/>
        </w:rPr>
        <w:t>Each</w:t>
      </w:r>
      <w:r>
        <w:rPr>
          <w:u w:val="single"/>
        </w:rPr>
        <w:t>To comply with Tier 1, ONE</w:t>
      </w:r>
      <w:r>
        <w:t xml:space="preserve"> of the following efficiency measures is required for all applicable components of the building project.</w:t>
      </w:r>
      <w:r>
        <w:rPr>
          <w:u w:val="single"/>
        </w:rPr>
        <w:t xml:space="preserve"> To comply with Tier 2, TWO of</w:t>
      </w:r>
      <w:r>
        <w:t xml:space="preserve"> </w:t>
      </w:r>
      <w:r w:rsidRPr="009749D5">
        <w:rPr>
          <w:u w:val="single"/>
        </w:rPr>
        <w:t>the following efficiency</w:t>
      </w:r>
      <w:r w:rsidRPr="009749D5">
        <w:rPr>
          <w:u w:val="single"/>
        </w:rPr>
        <w:t xml:space="preserve"> measures are required.</w:t>
      </w:r>
    </w:p>
    <w:p w:rsidR="00A13C45" w:rsidRDefault="00A13C45">
      <w:pPr>
        <w:pStyle w:val="BodyText"/>
        <w:spacing w:before="8"/>
        <w:rPr>
          <w:sz w:val="8"/>
        </w:rPr>
      </w:pPr>
    </w:p>
    <w:p w:rsidR="00A13C45" w:rsidRDefault="00A26171">
      <w:pPr>
        <w:pStyle w:val="BodyText"/>
        <w:spacing w:before="93" w:line="278" w:lineRule="auto"/>
        <w:ind w:left="119" w:right="178"/>
      </w:pPr>
      <w:r>
        <w:rPr>
          <w:b/>
        </w:rPr>
        <w:t xml:space="preserve">A5.203.1.1.1 Outdoor lighting. </w:t>
      </w:r>
      <w:r>
        <w:t>Newly installed outdoor lighting power shall be no greater than 90 percent of the Allowed Outdoor Lighting Power.</w:t>
      </w:r>
      <w:r w:rsidRPr="009749D5">
        <w:rPr>
          <w:u w:val="single"/>
        </w:rPr>
        <w:t xml:space="preserve">, and general hardscape lighting within the scope of Title </w:t>
      </w:r>
      <w:r>
        <w:rPr>
          <w:u w:val="single"/>
        </w:rPr>
        <w:t>24, Part 6, Section 140.7</w:t>
      </w:r>
      <w:r>
        <w:rPr>
          <w:u w:val="single"/>
        </w:rPr>
        <w:t>(b)1 shall have a color temperature no higher than 3000K.</w:t>
      </w:r>
      <w:r>
        <w:t xml:space="preserve"> The Allowed Outdoor Lighting Power calculation is specified in Title 24, Part 6, Section 140.7 “Requirements For Outdoor Lighting.”</w:t>
      </w:r>
    </w:p>
    <w:p w:rsidR="00A13C45" w:rsidRDefault="00A26171">
      <w:pPr>
        <w:pStyle w:val="BodyText"/>
        <w:spacing w:before="190" w:line="278" w:lineRule="auto"/>
        <w:ind w:left="120" w:right="722"/>
        <w:jc w:val="both"/>
      </w:pPr>
      <w:r>
        <w:rPr>
          <w:b/>
          <w:u w:val="single"/>
        </w:rPr>
        <w:t xml:space="preserve">Exception: </w:t>
      </w:r>
      <w:r>
        <w:rPr>
          <w:u w:val="single"/>
        </w:rPr>
        <w:t xml:space="preserve">The color temperature requirement is not applicable to </w:t>
      </w:r>
      <w:r>
        <w:rPr>
          <w:u w:val="single"/>
        </w:rPr>
        <w:t>the applications identified in the</w:t>
      </w:r>
      <w:r>
        <w:t xml:space="preserve"> </w:t>
      </w:r>
      <w:r>
        <w:rPr>
          <w:u w:val="single"/>
        </w:rPr>
        <w:t>Exceptions</w:t>
      </w:r>
      <w:r>
        <w:rPr>
          <w:spacing w:val="-5"/>
          <w:u w:val="single"/>
        </w:rPr>
        <w:t xml:space="preserve"> </w:t>
      </w:r>
      <w:r>
        <w:rPr>
          <w:u w:val="single"/>
        </w:rPr>
        <w:t>to</w:t>
      </w:r>
      <w:r>
        <w:rPr>
          <w:spacing w:val="-3"/>
          <w:u w:val="single"/>
        </w:rPr>
        <w:t xml:space="preserve"> </w:t>
      </w:r>
      <w:r>
        <w:rPr>
          <w:u w:val="single"/>
        </w:rPr>
        <w:t>Section</w:t>
      </w:r>
      <w:r>
        <w:rPr>
          <w:spacing w:val="-4"/>
          <w:u w:val="single"/>
        </w:rPr>
        <w:t xml:space="preserve"> </w:t>
      </w:r>
      <w:r>
        <w:rPr>
          <w:u w:val="single"/>
        </w:rPr>
        <w:t>140.7(a)</w:t>
      </w:r>
      <w:r>
        <w:rPr>
          <w:spacing w:val="-4"/>
          <w:u w:val="single"/>
        </w:rPr>
        <w:t xml:space="preserve"> </w:t>
      </w:r>
      <w:r>
        <w:rPr>
          <w:u w:val="single"/>
        </w:rPr>
        <w:t>nor</w:t>
      </w:r>
      <w:r>
        <w:rPr>
          <w:spacing w:val="-4"/>
          <w:u w:val="single"/>
        </w:rPr>
        <w:t xml:space="preserve"> </w:t>
      </w:r>
      <w:r>
        <w:rPr>
          <w:u w:val="single"/>
        </w:rPr>
        <w:t>to</w:t>
      </w:r>
      <w:r>
        <w:rPr>
          <w:spacing w:val="-4"/>
          <w:u w:val="single"/>
        </w:rPr>
        <w:t xml:space="preserve"> </w:t>
      </w:r>
      <w:r>
        <w:rPr>
          <w:u w:val="single"/>
        </w:rPr>
        <w:t>the</w:t>
      </w:r>
      <w:r>
        <w:rPr>
          <w:spacing w:val="-3"/>
          <w:u w:val="single"/>
        </w:rPr>
        <w:t xml:space="preserve"> </w:t>
      </w:r>
      <w:r>
        <w:rPr>
          <w:u w:val="single"/>
        </w:rPr>
        <w:t>applications</w:t>
      </w:r>
      <w:r>
        <w:rPr>
          <w:spacing w:val="-2"/>
          <w:u w:val="single"/>
        </w:rPr>
        <w:t xml:space="preserve"> </w:t>
      </w:r>
      <w:r>
        <w:rPr>
          <w:u w:val="single"/>
        </w:rPr>
        <w:t>identified</w:t>
      </w:r>
      <w:r>
        <w:rPr>
          <w:spacing w:val="-5"/>
          <w:u w:val="single"/>
        </w:rPr>
        <w:t xml:space="preserve"> </w:t>
      </w:r>
      <w:r>
        <w:rPr>
          <w:u w:val="single"/>
        </w:rPr>
        <w:t>as</w:t>
      </w:r>
      <w:r>
        <w:rPr>
          <w:spacing w:val="-4"/>
          <w:u w:val="single"/>
        </w:rPr>
        <w:t xml:space="preserve"> </w:t>
      </w:r>
      <w:r>
        <w:rPr>
          <w:u w:val="single"/>
        </w:rPr>
        <w:t>“specific</w:t>
      </w:r>
      <w:r>
        <w:rPr>
          <w:spacing w:val="-4"/>
          <w:u w:val="single"/>
        </w:rPr>
        <w:t xml:space="preserve"> </w:t>
      </w:r>
      <w:r>
        <w:rPr>
          <w:u w:val="single"/>
        </w:rPr>
        <w:t>applications”</w:t>
      </w:r>
      <w:r>
        <w:rPr>
          <w:spacing w:val="-5"/>
          <w:u w:val="single"/>
        </w:rPr>
        <w:t xml:space="preserve"> </w:t>
      </w:r>
      <w:r>
        <w:rPr>
          <w:u w:val="single"/>
        </w:rPr>
        <w:t>in</w:t>
      </w:r>
      <w:r>
        <w:rPr>
          <w:spacing w:val="-3"/>
          <w:u w:val="single"/>
        </w:rPr>
        <w:t xml:space="preserve"> </w:t>
      </w:r>
      <w:r>
        <w:rPr>
          <w:u w:val="single"/>
        </w:rPr>
        <w:t>Section</w:t>
      </w:r>
      <w:r>
        <w:t xml:space="preserve"> </w:t>
      </w:r>
      <w:r>
        <w:rPr>
          <w:u w:val="single"/>
        </w:rPr>
        <w:t>140.7(b)2 and Table</w:t>
      </w:r>
      <w:r>
        <w:rPr>
          <w:spacing w:val="-4"/>
          <w:u w:val="single"/>
        </w:rPr>
        <w:t xml:space="preserve"> </w:t>
      </w:r>
      <w:r>
        <w:rPr>
          <w:u w:val="single"/>
        </w:rPr>
        <w:t>140.7.</w:t>
      </w:r>
    </w:p>
    <w:p w:rsidR="00A13C45" w:rsidRDefault="00A13C45">
      <w:pPr>
        <w:pStyle w:val="BodyText"/>
        <w:spacing w:before="3"/>
        <w:rPr>
          <w:sz w:val="12"/>
        </w:rPr>
      </w:pPr>
    </w:p>
    <w:p w:rsidR="00A13C45" w:rsidRDefault="00A26171">
      <w:pPr>
        <w:pStyle w:val="BodyText"/>
        <w:spacing w:before="93" w:line="276" w:lineRule="auto"/>
        <w:ind w:left="120" w:right="178" w:hanging="1"/>
      </w:pPr>
      <w:r>
        <w:rPr>
          <w:b/>
        </w:rPr>
        <w:t xml:space="preserve">A5.203.1.1.2 Service water heating in restaurants. </w:t>
      </w:r>
      <w:r>
        <w:t>Newly constructed restaurants 8,000 square feet or greater and with service water heaters rated 75,000 Btu/h or greater shall install a solar water-heating system with a minimum solar savings fraction of 0.15.</w:t>
      </w:r>
    </w:p>
    <w:p w:rsidR="00A13C45" w:rsidRDefault="00A13C45">
      <w:pPr>
        <w:pStyle w:val="BodyText"/>
        <w:rPr>
          <w:sz w:val="21"/>
        </w:rPr>
      </w:pPr>
    </w:p>
    <w:p w:rsidR="00A13C45" w:rsidRDefault="00A26171">
      <w:pPr>
        <w:pStyle w:val="BodyText"/>
        <w:ind w:left="120"/>
      </w:pPr>
      <w:r>
        <w:t>Exceptions:</w:t>
      </w:r>
    </w:p>
    <w:p w:rsidR="00A13C45" w:rsidRDefault="00A13C45">
      <w:pPr>
        <w:pStyle w:val="BodyText"/>
        <w:spacing w:before="9"/>
        <w:rPr>
          <w:sz w:val="23"/>
        </w:rPr>
      </w:pPr>
    </w:p>
    <w:p w:rsidR="00A13C45" w:rsidRDefault="00A26171">
      <w:pPr>
        <w:pStyle w:val="ListParagraph"/>
        <w:numPr>
          <w:ilvl w:val="0"/>
          <w:numId w:val="5"/>
        </w:numPr>
        <w:tabs>
          <w:tab w:val="left" w:pos="397"/>
        </w:tabs>
        <w:spacing w:before="0"/>
        <w:rPr>
          <w:sz w:val="20"/>
        </w:rPr>
      </w:pPr>
      <w:r>
        <w:rPr>
          <w:sz w:val="20"/>
        </w:rPr>
        <w:t>Buildings with a natural gas ser</w:t>
      </w:r>
      <w:r>
        <w:rPr>
          <w:sz w:val="20"/>
        </w:rPr>
        <w:t>vice water heater with a minimum of 95-percent thermal</w:t>
      </w:r>
      <w:r>
        <w:rPr>
          <w:spacing w:val="-23"/>
          <w:sz w:val="20"/>
        </w:rPr>
        <w:t xml:space="preserve"> </w:t>
      </w:r>
      <w:r>
        <w:rPr>
          <w:sz w:val="20"/>
        </w:rPr>
        <w:t>efficiency.</w:t>
      </w:r>
    </w:p>
    <w:p w:rsidR="00A13C45" w:rsidRDefault="00A13C45">
      <w:pPr>
        <w:pStyle w:val="BodyText"/>
        <w:spacing w:before="10"/>
        <w:rPr>
          <w:sz w:val="23"/>
        </w:rPr>
      </w:pPr>
    </w:p>
    <w:p w:rsidR="00A13C45" w:rsidRDefault="00A26171">
      <w:pPr>
        <w:pStyle w:val="ListParagraph"/>
        <w:numPr>
          <w:ilvl w:val="0"/>
          <w:numId w:val="5"/>
        </w:numPr>
        <w:tabs>
          <w:tab w:val="left" w:pos="397"/>
        </w:tabs>
        <w:spacing w:before="0" w:line="276" w:lineRule="auto"/>
        <w:ind w:left="120" w:right="162" w:firstLine="0"/>
        <w:rPr>
          <w:sz w:val="20"/>
        </w:rPr>
      </w:pPr>
      <w:r>
        <w:rPr>
          <w:sz w:val="20"/>
        </w:rPr>
        <w:t>Buildings where greater than 75 percent of the total roof area has annual solar access that is less than 70 percent. Solar access is the ratio of solar insolation, including shade, to the solar insolation without shade. Shading from obstructions located on</w:t>
      </w:r>
      <w:r>
        <w:rPr>
          <w:sz w:val="20"/>
        </w:rPr>
        <w:t xml:space="preserve"> the roof or any other part of the building shall not be included in the determination of annual solar</w:t>
      </w:r>
      <w:r>
        <w:rPr>
          <w:spacing w:val="2"/>
          <w:sz w:val="20"/>
        </w:rPr>
        <w:t xml:space="preserve"> </w:t>
      </w:r>
      <w:r>
        <w:rPr>
          <w:sz w:val="20"/>
        </w:rPr>
        <w:t>access.</w:t>
      </w:r>
    </w:p>
    <w:p w:rsidR="00A13C45" w:rsidRDefault="00A13C45">
      <w:pPr>
        <w:pStyle w:val="BodyText"/>
        <w:spacing w:before="9"/>
        <w:rPr>
          <w:sz w:val="22"/>
        </w:rPr>
      </w:pPr>
    </w:p>
    <w:p w:rsidR="00A13C45" w:rsidRDefault="00A26171">
      <w:pPr>
        <w:pStyle w:val="BodyText"/>
        <w:spacing w:line="278" w:lineRule="auto"/>
        <w:ind w:left="120" w:right="117"/>
      </w:pPr>
      <w:r>
        <w:rPr>
          <w:b/>
          <w:u w:val="single"/>
        </w:rPr>
        <w:t xml:space="preserve">A5.203.1.1.3 Warehouse Dock Seal Doors </w:t>
      </w:r>
      <w:r>
        <w:rPr>
          <w:u w:val="single"/>
        </w:rPr>
        <w:t>Exterior loading dock doors that are adjacent to conditioned</w:t>
      </w:r>
      <w:r>
        <w:t xml:space="preserve"> </w:t>
      </w:r>
      <w:r>
        <w:rPr>
          <w:u w:val="single"/>
        </w:rPr>
        <w:t xml:space="preserve">or indirectly conditioned spaces shall have </w:t>
      </w:r>
      <w:r>
        <w:rPr>
          <w:u w:val="single"/>
        </w:rPr>
        <w:t>dock seals or dock shelters installed at the time of permitting.</w:t>
      </w:r>
      <w:r>
        <w:t xml:space="preserve"> </w:t>
      </w:r>
      <w:r>
        <w:rPr>
          <w:u w:val="single"/>
        </w:rPr>
        <w:t>This requirement shall apply to newly constructed buildings and to loading dock doors added to existing</w:t>
      </w:r>
      <w:r>
        <w:t xml:space="preserve"> </w:t>
      </w:r>
      <w:r>
        <w:rPr>
          <w:u w:val="single"/>
        </w:rPr>
        <w:t>buildings.</w:t>
      </w:r>
    </w:p>
    <w:p w:rsidR="00A13C45" w:rsidRDefault="00A26171">
      <w:pPr>
        <w:spacing w:before="191" w:line="283" w:lineRule="auto"/>
        <w:ind w:left="120" w:right="117"/>
        <w:rPr>
          <w:sz w:val="20"/>
        </w:rPr>
      </w:pPr>
      <w:r>
        <w:rPr>
          <w:b/>
          <w:sz w:val="20"/>
          <w:u w:val="single"/>
        </w:rPr>
        <w:t xml:space="preserve">A5.203.1.1.4 Daylight Design Power Adjustments Factors (PAFs). </w:t>
      </w:r>
      <w:r>
        <w:rPr>
          <w:sz w:val="20"/>
          <w:u w:val="single"/>
        </w:rPr>
        <w:t>Daylighting d</w:t>
      </w:r>
      <w:r>
        <w:rPr>
          <w:sz w:val="20"/>
          <w:u w:val="single"/>
        </w:rPr>
        <w:t>evices shall be</w:t>
      </w:r>
      <w:r>
        <w:rPr>
          <w:sz w:val="20"/>
        </w:rPr>
        <w:t xml:space="preserve"> </w:t>
      </w:r>
      <w:r>
        <w:rPr>
          <w:sz w:val="20"/>
          <w:u w:val="single"/>
        </w:rPr>
        <w:t>installed as specified in Title 24, Part 6, Section 140.3(d).</w:t>
      </w:r>
    </w:p>
    <w:p w:rsidR="00A13C45" w:rsidRDefault="00A26171">
      <w:pPr>
        <w:spacing w:before="186" w:line="280" w:lineRule="auto"/>
        <w:ind w:left="120"/>
        <w:rPr>
          <w:sz w:val="20"/>
        </w:rPr>
      </w:pPr>
      <w:r>
        <w:rPr>
          <w:b/>
          <w:sz w:val="20"/>
          <w:u w:val="single"/>
        </w:rPr>
        <w:t xml:space="preserve">A5.203.1.1.5 Exhaust Air Heat Recovery. </w:t>
      </w:r>
      <w:r>
        <w:rPr>
          <w:sz w:val="20"/>
          <w:u w:val="single"/>
        </w:rPr>
        <w:t>Heat recovery requirements based on ASHRAE 90.1 Section</w:t>
      </w:r>
      <w:r>
        <w:rPr>
          <w:sz w:val="20"/>
        </w:rPr>
        <w:t xml:space="preserve"> </w:t>
      </w:r>
      <w:r>
        <w:rPr>
          <w:sz w:val="20"/>
          <w:u w:val="single"/>
        </w:rPr>
        <w:t>6.5.6.1 are adapted and modified for California climate zones as described below.</w:t>
      </w:r>
    </w:p>
    <w:p w:rsidR="00A13C45" w:rsidRDefault="00A13C45">
      <w:pPr>
        <w:pStyle w:val="BodyText"/>
        <w:spacing w:before="4"/>
        <w:rPr>
          <w:sz w:val="12"/>
        </w:rPr>
      </w:pPr>
    </w:p>
    <w:p w:rsidR="00A13C45" w:rsidRDefault="00A26171">
      <w:pPr>
        <w:pStyle w:val="ListParagraph"/>
        <w:numPr>
          <w:ilvl w:val="0"/>
          <w:numId w:val="4"/>
        </w:numPr>
        <w:tabs>
          <w:tab w:val="left" w:pos="341"/>
        </w:tabs>
        <w:spacing w:line="276" w:lineRule="auto"/>
        <w:ind w:right="308" w:firstLine="0"/>
        <w:rPr>
          <w:sz w:val="20"/>
        </w:rPr>
      </w:pPr>
      <w:r>
        <w:rPr>
          <w:sz w:val="20"/>
          <w:u w:val="single"/>
        </w:rPr>
        <w:t>Systems with minimum design outdoor air fraction of 80% or greater and supply air flow of 200 cfm or greater in climate zones 2, 9, 10, 11, 12, 13, 14, 15 shall have a heat recovery</w:t>
      </w:r>
      <w:r>
        <w:rPr>
          <w:spacing w:val="-14"/>
          <w:sz w:val="20"/>
          <w:u w:val="single"/>
        </w:rPr>
        <w:t xml:space="preserve"> </w:t>
      </w:r>
      <w:r>
        <w:rPr>
          <w:sz w:val="20"/>
          <w:u w:val="single"/>
        </w:rPr>
        <w:t>system.</w:t>
      </w:r>
    </w:p>
    <w:p w:rsidR="00A13C45" w:rsidRDefault="00A13C45">
      <w:pPr>
        <w:spacing w:line="276" w:lineRule="auto"/>
        <w:rPr>
          <w:sz w:val="20"/>
        </w:rPr>
        <w:sectPr w:rsidR="00A13C45">
          <w:pgSz w:w="12240" w:h="15840"/>
          <w:pgMar w:top="1660" w:right="1320" w:bottom="280" w:left="1320" w:header="1447" w:footer="0" w:gutter="0"/>
          <w:cols w:space="720"/>
        </w:sectPr>
      </w:pPr>
    </w:p>
    <w:p w:rsidR="00A13C45" w:rsidRDefault="00A26171">
      <w:pPr>
        <w:pStyle w:val="ListParagraph"/>
        <w:numPr>
          <w:ilvl w:val="0"/>
          <w:numId w:val="4"/>
        </w:numPr>
        <w:tabs>
          <w:tab w:val="left" w:pos="341"/>
        </w:tabs>
        <w:spacing w:before="79" w:line="276" w:lineRule="auto"/>
        <w:ind w:right="139" w:firstLine="0"/>
        <w:rPr>
          <w:sz w:val="20"/>
        </w:rPr>
      </w:pPr>
      <w:r>
        <w:rPr>
          <w:sz w:val="20"/>
          <w:u w:val="single"/>
        </w:rPr>
        <w:lastRenderedPageBreak/>
        <w:t>Heat recovery systems required by this section shal</w:t>
      </w:r>
      <w:r>
        <w:rPr>
          <w:sz w:val="20"/>
          <w:u w:val="single"/>
        </w:rPr>
        <w:t>l result in a net sensible energy recovery ratio of at least 60 percent for both heating and cooling as tested using AHRI 1060-2014 or 1061-2014 and certified by AHRI. A 60 percent sensible energy recovery ratio shall mean a change in the dry-bulb of the o</w:t>
      </w:r>
      <w:r>
        <w:rPr>
          <w:sz w:val="20"/>
          <w:u w:val="single"/>
        </w:rPr>
        <w:t>utdoor air</w:t>
      </w:r>
      <w:r>
        <w:rPr>
          <w:spacing w:val="-2"/>
          <w:sz w:val="20"/>
          <w:u w:val="single"/>
        </w:rPr>
        <w:t xml:space="preserve"> </w:t>
      </w:r>
      <w:r>
        <w:rPr>
          <w:sz w:val="20"/>
          <w:u w:val="single"/>
        </w:rPr>
        <w:t>supply</w:t>
      </w:r>
      <w:r>
        <w:rPr>
          <w:spacing w:val="-6"/>
          <w:sz w:val="20"/>
          <w:u w:val="single"/>
        </w:rPr>
        <w:t xml:space="preserve"> </w:t>
      </w:r>
      <w:r>
        <w:rPr>
          <w:sz w:val="20"/>
          <w:u w:val="single"/>
        </w:rPr>
        <w:t>equal</w:t>
      </w:r>
      <w:r>
        <w:rPr>
          <w:spacing w:val="-4"/>
          <w:sz w:val="20"/>
          <w:u w:val="single"/>
        </w:rPr>
        <w:t xml:space="preserve"> </w:t>
      </w:r>
      <w:r>
        <w:rPr>
          <w:sz w:val="20"/>
          <w:u w:val="single"/>
        </w:rPr>
        <w:t>to</w:t>
      </w:r>
      <w:r>
        <w:rPr>
          <w:spacing w:val="-1"/>
          <w:sz w:val="20"/>
          <w:u w:val="single"/>
        </w:rPr>
        <w:t xml:space="preserve"> </w:t>
      </w:r>
      <w:r>
        <w:rPr>
          <w:sz w:val="20"/>
          <w:u w:val="single"/>
        </w:rPr>
        <w:t>60</w:t>
      </w:r>
      <w:r>
        <w:rPr>
          <w:spacing w:val="-1"/>
          <w:sz w:val="20"/>
          <w:u w:val="single"/>
        </w:rPr>
        <w:t xml:space="preserve"> </w:t>
      </w:r>
      <w:r>
        <w:rPr>
          <w:sz w:val="20"/>
          <w:u w:val="single"/>
        </w:rPr>
        <w:t>percent</w:t>
      </w:r>
      <w:r>
        <w:rPr>
          <w:spacing w:val="-3"/>
          <w:sz w:val="20"/>
          <w:u w:val="single"/>
        </w:rPr>
        <w:t xml:space="preserve"> </w:t>
      </w:r>
      <w:r>
        <w:rPr>
          <w:sz w:val="20"/>
          <w:u w:val="single"/>
        </w:rPr>
        <w:t>of</w:t>
      </w:r>
      <w:r>
        <w:rPr>
          <w:spacing w:val="-1"/>
          <w:sz w:val="20"/>
          <w:u w:val="single"/>
        </w:rPr>
        <w:t xml:space="preserve"> </w:t>
      </w:r>
      <w:r>
        <w:rPr>
          <w:sz w:val="20"/>
          <w:u w:val="single"/>
        </w:rPr>
        <w:t>the</w:t>
      </w:r>
      <w:r>
        <w:rPr>
          <w:spacing w:val="-3"/>
          <w:sz w:val="20"/>
          <w:u w:val="single"/>
        </w:rPr>
        <w:t xml:space="preserve"> </w:t>
      </w:r>
      <w:r>
        <w:rPr>
          <w:sz w:val="20"/>
          <w:u w:val="single"/>
        </w:rPr>
        <w:t>difference</w:t>
      </w:r>
      <w:r>
        <w:rPr>
          <w:spacing w:val="-3"/>
          <w:sz w:val="20"/>
          <w:u w:val="single"/>
        </w:rPr>
        <w:t xml:space="preserve"> </w:t>
      </w:r>
      <w:r>
        <w:rPr>
          <w:sz w:val="20"/>
          <w:u w:val="single"/>
        </w:rPr>
        <w:t>between</w:t>
      </w:r>
      <w:r>
        <w:rPr>
          <w:spacing w:val="-2"/>
          <w:sz w:val="20"/>
          <w:u w:val="single"/>
        </w:rPr>
        <w:t xml:space="preserve"> </w:t>
      </w:r>
      <w:r>
        <w:rPr>
          <w:sz w:val="20"/>
          <w:u w:val="single"/>
        </w:rPr>
        <w:t>the</w:t>
      </w:r>
      <w:r>
        <w:rPr>
          <w:spacing w:val="-3"/>
          <w:sz w:val="20"/>
          <w:u w:val="single"/>
        </w:rPr>
        <w:t xml:space="preserve"> </w:t>
      </w:r>
      <w:r>
        <w:rPr>
          <w:sz w:val="20"/>
          <w:u w:val="single"/>
        </w:rPr>
        <w:t>outdoor</w:t>
      </w:r>
      <w:r>
        <w:rPr>
          <w:spacing w:val="-2"/>
          <w:sz w:val="20"/>
          <w:u w:val="single"/>
        </w:rPr>
        <w:t xml:space="preserve"> </w:t>
      </w:r>
      <w:r>
        <w:rPr>
          <w:sz w:val="20"/>
          <w:u w:val="single"/>
        </w:rPr>
        <w:t>air</w:t>
      </w:r>
      <w:r>
        <w:rPr>
          <w:spacing w:val="-2"/>
          <w:sz w:val="20"/>
          <w:u w:val="single"/>
        </w:rPr>
        <w:t xml:space="preserve"> </w:t>
      </w:r>
      <w:r>
        <w:rPr>
          <w:sz w:val="20"/>
          <w:u w:val="single"/>
        </w:rPr>
        <w:t>and</w:t>
      </w:r>
      <w:r>
        <w:rPr>
          <w:spacing w:val="-1"/>
          <w:sz w:val="20"/>
          <w:u w:val="single"/>
        </w:rPr>
        <w:t xml:space="preserve"> </w:t>
      </w:r>
      <w:r>
        <w:rPr>
          <w:sz w:val="20"/>
          <w:u w:val="single"/>
        </w:rPr>
        <w:t>exhaust</w:t>
      </w:r>
      <w:r>
        <w:rPr>
          <w:spacing w:val="-3"/>
          <w:sz w:val="20"/>
          <w:u w:val="single"/>
        </w:rPr>
        <w:t xml:space="preserve"> </w:t>
      </w:r>
      <w:r>
        <w:rPr>
          <w:sz w:val="20"/>
          <w:u w:val="single"/>
        </w:rPr>
        <w:t>air</w:t>
      </w:r>
      <w:r>
        <w:rPr>
          <w:spacing w:val="-2"/>
          <w:sz w:val="20"/>
          <w:u w:val="single"/>
        </w:rPr>
        <w:t xml:space="preserve"> </w:t>
      </w:r>
      <w:r>
        <w:rPr>
          <w:sz w:val="20"/>
          <w:u w:val="single"/>
        </w:rPr>
        <w:t>dry-bulb</w:t>
      </w:r>
      <w:r>
        <w:rPr>
          <w:spacing w:val="-1"/>
          <w:sz w:val="20"/>
          <w:u w:val="single"/>
        </w:rPr>
        <w:t xml:space="preserve"> </w:t>
      </w:r>
      <w:r>
        <w:rPr>
          <w:sz w:val="20"/>
          <w:u w:val="single"/>
        </w:rPr>
        <w:t>at</w:t>
      </w:r>
      <w:r>
        <w:rPr>
          <w:spacing w:val="-3"/>
          <w:sz w:val="20"/>
          <w:u w:val="single"/>
        </w:rPr>
        <w:t xml:space="preserve"> </w:t>
      </w:r>
      <w:r>
        <w:rPr>
          <w:sz w:val="20"/>
          <w:u w:val="single"/>
        </w:rPr>
        <w:t>design conditions. Provisions shall be made to bypass or control the energy recovery system to permit air economizer operation as required by Title 24, Part 6, Section 140.4(e):</w:t>
      </w:r>
      <w:r>
        <w:rPr>
          <w:spacing w:val="-9"/>
          <w:sz w:val="20"/>
          <w:u w:val="single"/>
        </w:rPr>
        <w:t xml:space="preserve"> </w:t>
      </w:r>
      <w:r>
        <w:rPr>
          <w:sz w:val="20"/>
          <w:u w:val="single"/>
        </w:rPr>
        <w:t>Economizers.</w:t>
      </w:r>
    </w:p>
    <w:p w:rsidR="00A13C45" w:rsidRDefault="00A13C45">
      <w:pPr>
        <w:pStyle w:val="BodyText"/>
        <w:spacing w:before="9"/>
        <w:rPr>
          <w:sz w:val="12"/>
        </w:rPr>
      </w:pPr>
    </w:p>
    <w:p w:rsidR="00A13C45" w:rsidRDefault="00A26171">
      <w:pPr>
        <w:pStyle w:val="BodyText"/>
        <w:spacing w:before="93"/>
        <w:ind w:left="120"/>
      </w:pPr>
      <w:r>
        <w:rPr>
          <w:u w:val="single"/>
        </w:rPr>
        <w:t>EXCEPTION 1: Systems serving spaces that are not cooled and that</w:t>
      </w:r>
      <w:r>
        <w:rPr>
          <w:u w:val="single"/>
        </w:rPr>
        <w:t xml:space="preserve"> are heated to less than 60°F.</w:t>
      </w:r>
    </w:p>
    <w:p w:rsidR="00A13C45" w:rsidRDefault="00A13C45">
      <w:pPr>
        <w:pStyle w:val="BodyText"/>
        <w:spacing w:before="8"/>
        <w:rPr>
          <w:sz w:val="15"/>
        </w:rPr>
      </w:pPr>
    </w:p>
    <w:p w:rsidR="00A13C45" w:rsidRDefault="00A26171">
      <w:pPr>
        <w:pStyle w:val="BodyText"/>
        <w:spacing w:before="93" w:line="278" w:lineRule="auto"/>
        <w:ind w:left="120" w:right="622"/>
      </w:pPr>
      <w:r>
        <w:rPr>
          <w:u w:val="single"/>
        </w:rPr>
        <w:t>EXCEPTION 2: Where more than 60 percent of the outdoor air heating energy is provided from site-</w:t>
      </w:r>
      <w:r>
        <w:t xml:space="preserve"> </w:t>
      </w:r>
      <w:r>
        <w:rPr>
          <w:u w:val="single"/>
        </w:rPr>
        <w:t>recovered energy.</w:t>
      </w:r>
    </w:p>
    <w:p w:rsidR="00A13C45" w:rsidRDefault="00A13C45">
      <w:pPr>
        <w:pStyle w:val="BodyText"/>
        <w:spacing w:before="6"/>
        <w:rPr>
          <w:sz w:val="12"/>
        </w:rPr>
      </w:pPr>
    </w:p>
    <w:p w:rsidR="00A13C45" w:rsidRDefault="00A26171">
      <w:pPr>
        <w:pStyle w:val="BodyText"/>
        <w:spacing w:before="93" w:line="276" w:lineRule="auto"/>
        <w:ind w:left="120"/>
      </w:pPr>
      <w:r>
        <w:rPr>
          <w:u w:val="single"/>
        </w:rPr>
        <w:t>EXCEPTION 3: Where the sum of the airflow rates exhausted and relieved within 20 feet of each other is</w:t>
      </w:r>
      <w:r>
        <w:t xml:space="preserve"> </w:t>
      </w:r>
      <w:r>
        <w:rPr>
          <w:u w:val="single"/>
        </w:rPr>
        <w:t>less than 75 percent of the design outdoor airflow rate, excluding exhaust air that is either:</w:t>
      </w:r>
    </w:p>
    <w:p w:rsidR="00A13C45" w:rsidRDefault="00A13C45">
      <w:pPr>
        <w:pStyle w:val="BodyText"/>
        <w:spacing w:before="8"/>
        <w:rPr>
          <w:sz w:val="12"/>
        </w:rPr>
      </w:pPr>
    </w:p>
    <w:p w:rsidR="00A13C45" w:rsidRDefault="00A26171">
      <w:pPr>
        <w:pStyle w:val="ListParagraph"/>
        <w:numPr>
          <w:ilvl w:val="1"/>
          <w:numId w:val="4"/>
        </w:numPr>
        <w:tabs>
          <w:tab w:val="left" w:pos="1061"/>
        </w:tabs>
        <w:ind w:hanging="220"/>
        <w:rPr>
          <w:sz w:val="20"/>
        </w:rPr>
      </w:pPr>
      <w:r>
        <w:rPr>
          <w:sz w:val="20"/>
          <w:u w:val="single"/>
        </w:rPr>
        <w:t>used for another energy recovery</w:t>
      </w:r>
      <w:r>
        <w:rPr>
          <w:spacing w:val="-6"/>
          <w:sz w:val="20"/>
          <w:u w:val="single"/>
        </w:rPr>
        <w:t xml:space="preserve"> </w:t>
      </w:r>
      <w:r>
        <w:rPr>
          <w:sz w:val="20"/>
          <w:u w:val="single"/>
        </w:rPr>
        <w:t>system,</w:t>
      </w:r>
    </w:p>
    <w:p w:rsidR="00A13C45" w:rsidRDefault="00A13C45">
      <w:pPr>
        <w:pStyle w:val="BodyText"/>
        <w:spacing w:before="9"/>
        <w:rPr>
          <w:sz w:val="15"/>
        </w:rPr>
      </w:pPr>
    </w:p>
    <w:p w:rsidR="00A13C45" w:rsidRDefault="00A26171">
      <w:pPr>
        <w:pStyle w:val="ListParagraph"/>
        <w:numPr>
          <w:ilvl w:val="1"/>
          <w:numId w:val="4"/>
        </w:numPr>
        <w:tabs>
          <w:tab w:val="left" w:pos="1061"/>
        </w:tabs>
        <w:spacing w:line="278" w:lineRule="auto"/>
        <w:ind w:left="840" w:right="803" w:firstLine="0"/>
        <w:rPr>
          <w:sz w:val="20"/>
        </w:rPr>
      </w:pPr>
      <w:r>
        <w:rPr>
          <w:sz w:val="20"/>
          <w:u w:val="single"/>
        </w:rPr>
        <w:t>not allowed by ASHRAE Standard 170 for use in energy recovery systems with</w:t>
      </w:r>
      <w:r>
        <w:rPr>
          <w:spacing w:val="-36"/>
          <w:sz w:val="20"/>
          <w:u w:val="single"/>
        </w:rPr>
        <w:t xml:space="preserve"> </w:t>
      </w:r>
      <w:r>
        <w:rPr>
          <w:sz w:val="20"/>
          <w:u w:val="single"/>
        </w:rPr>
        <w:t>leakage potential, or</w:t>
      </w:r>
    </w:p>
    <w:p w:rsidR="00A13C45" w:rsidRDefault="00A13C45">
      <w:pPr>
        <w:pStyle w:val="BodyText"/>
        <w:spacing w:before="6"/>
        <w:rPr>
          <w:sz w:val="12"/>
        </w:rPr>
      </w:pPr>
    </w:p>
    <w:p w:rsidR="00A13C45" w:rsidRDefault="00A26171">
      <w:pPr>
        <w:pStyle w:val="ListParagraph"/>
        <w:numPr>
          <w:ilvl w:val="1"/>
          <w:numId w:val="4"/>
        </w:numPr>
        <w:tabs>
          <w:tab w:val="left" w:pos="1061"/>
        </w:tabs>
        <w:ind w:hanging="220"/>
        <w:rPr>
          <w:sz w:val="20"/>
        </w:rPr>
      </w:pPr>
      <w:r>
        <w:rPr>
          <w:sz w:val="20"/>
          <w:u w:val="single"/>
        </w:rPr>
        <w:t>of Class 4 as define</w:t>
      </w:r>
      <w:r>
        <w:rPr>
          <w:sz w:val="20"/>
          <w:u w:val="single"/>
        </w:rPr>
        <w:t>d in ASHRAE Standard</w:t>
      </w:r>
      <w:r>
        <w:rPr>
          <w:spacing w:val="1"/>
          <w:sz w:val="20"/>
          <w:u w:val="single"/>
        </w:rPr>
        <w:t xml:space="preserve"> </w:t>
      </w:r>
      <w:r>
        <w:rPr>
          <w:sz w:val="20"/>
          <w:u w:val="single"/>
        </w:rPr>
        <w:t>62.1.</w:t>
      </w:r>
    </w:p>
    <w:p w:rsidR="00A13C45" w:rsidRDefault="00A13C45">
      <w:pPr>
        <w:pStyle w:val="BodyText"/>
        <w:spacing w:before="8"/>
        <w:rPr>
          <w:sz w:val="15"/>
        </w:rPr>
      </w:pPr>
    </w:p>
    <w:p w:rsidR="00A13C45" w:rsidRDefault="00A26171">
      <w:pPr>
        <w:pStyle w:val="BodyText"/>
        <w:spacing w:before="93"/>
        <w:ind w:left="120"/>
      </w:pPr>
      <w:r>
        <w:rPr>
          <w:u w:val="single"/>
        </w:rPr>
        <w:t>EXCEPTION 4: Systems expected to operate less than 20 hours per week.</w:t>
      </w:r>
    </w:p>
    <w:p w:rsidR="00A13C45" w:rsidRDefault="00A13C45">
      <w:pPr>
        <w:pStyle w:val="BodyText"/>
        <w:rPr>
          <w:sz w:val="12"/>
        </w:rPr>
      </w:pPr>
    </w:p>
    <w:p w:rsidR="00A13C45" w:rsidRDefault="00A26171">
      <w:pPr>
        <w:spacing w:before="93"/>
        <w:ind w:left="120"/>
        <w:rPr>
          <w:sz w:val="20"/>
        </w:rPr>
      </w:pPr>
      <w:r>
        <w:rPr>
          <w:b/>
          <w:sz w:val="20"/>
        </w:rPr>
        <w:t xml:space="preserve">A5.203.1.2 Performance standard. </w:t>
      </w:r>
      <w:r>
        <w:rPr>
          <w:sz w:val="20"/>
        </w:rPr>
        <w:t>Comply with one of the advanced efficiency levels indicated below.</w:t>
      </w:r>
    </w:p>
    <w:p w:rsidR="00A13C45" w:rsidRDefault="00A13C45">
      <w:pPr>
        <w:pStyle w:val="BodyText"/>
        <w:spacing w:before="1"/>
      </w:pPr>
    </w:p>
    <w:p w:rsidR="00A13C45" w:rsidRDefault="00A26171">
      <w:pPr>
        <w:pStyle w:val="BodyText"/>
        <w:spacing w:line="278" w:lineRule="auto"/>
        <w:ind w:left="120" w:right="153"/>
      </w:pPr>
      <w:r>
        <w:rPr>
          <w:b/>
        </w:rPr>
        <w:t xml:space="preserve">A5.203.1.2.1 Tier 1. </w:t>
      </w:r>
      <w:r>
        <w:t xml:space="preserve">Buildings complying with the first level of advanced energy efficiency shall have an Energy Budget that is no greater than indicated below, depending on </w:t>
      </w:r>
      <w:r>
        <w:rPr>
          <w:u w:val="single"/>
        </w:rPr>
        <w:t xml:space="preserve">building type and </w:t>
      </w:r>
      <w:r>
        <w:t>the type of energy systems included in the building project. If the newly constructed</w:t>
      </w:r>
      <w:r>
        <w:t xml:space="preserve"> building or addition does not include indoor lighting or mechanical systems, then no additional performance requirements above Title 24, Part 6 are required.</w:t>
      </w:r>
    </w:p>
    <w:p w:rsidR="00A13C45" w:rsidRDefault="00A26171">
      <w:pPr>
        <w:pStyle w:val="ListParagraph"/>
        <w:numPr>
          <w:ilvl w:val="0"/>
          <w:numId w:val="3"/>
        </w:numPr>
        <w:tabs>
          <w:tab w:val="left" w:pos="396"/>
        </w:tabs>
        <w:spacing w:before="190" w:line="278" w:lineRule="auto"/>
        <w:ind w:right="409" w:firstLine="0"/>
        <w:rPr>
          <w:sz w:val="20"/>
        </w:rPr>
      </w:pPr>
      <w:r>
        <w:rPr>
          <w:sz w:val="20"/>
        </w:rPr>
        <w:t xml:space="preserve">For </w:t>
      </w:r>
      <w:r>
        <w:rPr>
          <w:sz w:val="20"/>
          <w:u w:val="single"/>
        </w:rPr>
        <w:t>nonresidential</w:t>
      </w:r>
      <w:r>
        <w:rPr>
          <w:sz w:val="20"/>
        </w:rPr>
        <w:t xml:space="preserve"> building projects that include indoor lighting or mechanical systems, but not both: No greater than 95 percent of the Title 24, Part 6, Energy Budget for the Standard Design Building as calculated by compliance software certified by the Energy</w:t>
      </w:r>
      <w:r>
        <w:rPr>
          <w:spacing w:val="-13"/>
          <w:sz w:val="20"/>
        </w:rPr>
        <w:t xml:space="preserve"> </w:t>
      </w:r>
      <w:r>
        <w:rPr>
          <w:sz w:val="20"/>
        </w:rPr>
        <w:t>Commission.</w:t>
      </w:r>
    </w:p>
    <w:p w:rsidR="00A13C45" w:rsidRDefault="00A26171">
      <w:pPr>
        <w:pStyle w:val="ListParagraph"/>
        <w:numPr>
          <w:ilvl w:val="0"/>
          <w:numId w:val="3"/>
        </w:numPr>
        <w:tabs>
          <w:tab w:val="left" w:pos="396"/>
        </w:tabs>
        <w:spacing w:before="193" w:line="278" w:lineRule="auto"/>
        <w:ind w:right="372" w:firstLine="0"/>
        <w:jc w:val="both"/>
        <w:rPr>
          <w:sz w:val="20"/>
        </w:rPr>
      </w:pPr>
      <w:r>
        <w:rPr>
          <w:sz w:val="20"/>
        </w:rPr>
        <w:t xml:space="preserve">For </w:t>
      </w:r>
      <w:r>
        <w:rPr>
          <w:sz w:val="20"/>
          <w:u w:val="single"/>
        </w:rPr>
        <w:t>nonresidential</w:t>
      </w:r>
      <w:r>
        <w:rPr>
          <w:sz w:val="20"/>
        </w:rPr>
        <w:t xml:space="preserve"> building projects that include indoor lighting and mechanical systems: No greater than 90 percent of the Title 24, Part 6 Energy Budget for the Standard Design Building as calculated by compliance software certified by the Energy</w:t>
      </w:r>
      <w:r>
        <w:rPr>
          <w:spacing w:val="-12"/>
          <w:sz w:val="20"/>
        </w:rPr>
        <w:t xml:space="preserve"> </w:t>
      </w:r>
      <w:r>
        <w:rPr>
          <w:sz w:val="20"/>
        </w:rPr>
        <w:t>Commis</w:t>
      </w:r>
      <w:r>
        <w:rPr>
          <w:sz w:val="20"/>
        </w:rPr>
        <w:t>sion.</w:t>
      </w:r>
    </w:p>
    <w:p w:rsidR="00A13C45" w:rsidRDefault="00A26171">
      <w:pPr>
        <w:pStyle w:val="ListParagraph"/>
        <w:numPr>
          <w:ilvl w:val="0"/>
          <w:numId w:val="3"/>
        </w:numPr>
        <w:tabs>
          <w:tab w:val="left" w:pos="396"/>
        </w:tabs>
        <w:spacing w:before="194" w:line="278" w:lineRule="auto"/>
        <w:ind w:right="183" w:firstLine="0"/>
        <w:rPr>
          <w:sz w:val="20"/>
        </w:rPr>
      </w:pPr>
      <w:r>
        <w:rPr>
          <w:sz w:val="20"/>
          <w:u w:val="single"/>
        </w:rPr>
        <w:t>For high-rise residential and hotel/motel building projects: No greater than 95 percent of the Title 24, Part 6, Energy Budget for the Standard Design Building as calculated by compliance software certified by the Energy</w:t>
      </w:r>
      <w:r>
        <w:rPr>
          <w:spacing w:val="-4"/>
          <w:sz w:val="20"/>
          <w:u w:val="single"/>
        </w:rPr>
        <w:t xml:space="preserve"> </w:t>
      </w:r>
      <w:r>
        <w:rPr>
          <w:sz w:val="20"/>
          <w:u w:val="single"/>
        </w:rPr>
        <w:t>Commission.</w:t>
      </w:r>
    </w:p>
    <w:p w:rsidR="00A13C45" w:rsidRDefault="00A26171">
      <w:pPr>
        <w:pStyle w:val="BodyText"/>
        <w:spacing w:before="190" w:line="278" w:lineRule="auto"/>
        <w:ind w:left="120" w:right="276"/>
      </w:pPr>
      <w:r>
        <w:rPr>
          <w:b/>
        </w:rPr>
        <w:t>A5.203.1.2.2 Tier</w:t>
      </w:r>
      <w:r>
        <w:rPr>
          <w:b/>
        </w:rPr>
        <w:t xml:space="preserve"> 2. </w:t>
      </w:r>
      <w:r>
        <w:t>Buildings complying with the second level of advanced energy efficiency shall have an Energy Budget that is no greater than indicated below, depending on</w:t>
      </w:r>
      <w:r>
        <w:rPr>
          <w:u w:val="single"/>
        </w:rPr>
        <w:t xml:space="preserve"> building type and</w:t>
      </w:r>
      <w:r>
        <w:t xml:space="preserve"> the type of energy systems included in the building project. If the newly constr</w:t>
      </w:r>
      <w:r>
        <w:t>ucted building or addition does not include indoor lighting or mechanical systems, then no additional performance requirements above Title 24, Part 6 are required.</w:t>
      </w:r>
    </w:p>
    <w:p w:rsidR="00A13C45" w:rsidRDefault="00A13C45">
      <w:pPr>
        <w:spacing w:line="278" w:lineRule="auto"/>
        <w:sectPr w:rsidR="00A13C45">
          <w:headerReference w:type="default" r:id="rId15"/>
          <w:pgSz w:w="12240" w:h="15840"/>
          <w:pgMar w:top="1360" w:right="1320" w:bottom="280" w:left="1320" w:header="0" w:footer="0" w:gutter="0"/>
          <w:cols w:space="720"/>
        </w:sectPr>
      </w:pPr>
    </w:p>
    <w:p w:rsidR="00A13C45" w:rsidRDefault="00A26171">
      <w:pPr>
        <w:pStyle w:val="ListParagraph"/>
        <w:numPr>
          <w:ilvl w:val="0"/>
          <w:numId w:val="2"/>
        </w:numPr>
        <w:tabs>
          <w:tab w:val="left" w:pos="396"/>
        </w:tabs>
        <w:spacing w:before="79" w:line="276" w:lineRule="auto"/>
        <w:ind w:right="409" w:firstLine="0"/>
        <w:rPr>
          <w:sz w:val="20"/>
        </w:rPr>
      </w:pPr>
      <w:r>
        <w:rPr>
          <w:sz w:val="20"/>
        </w:rPr>
        <w:lastRenderedPageBreak/>
        <w:t>For</w:t>
      </w:r>
      <w:r>
        <w:rPr>
          <w:sz w:val="20"/>
          <w:u w:val="single"/>
        </w:rPr>
        <w:t xml:space="preserve"> nonresidential</w:t>
      </w:r>
      <w:r>
        <w:rPr>
          <w:sz w:val="20"/>
        </w:rPr>
        <w:t xml:space="preserve"> building projects that include indoor lighting or mechanic</w:t>
      </w:r>
      <w:r>
        <w:rPr>
          <w:sz w:val="20"/>
        </w:rPr>
        <w:t>al systems, but not both: No greater than 90 percent of the Title 24, Part 6, Energy Budget for the Standard Design Building as calculated by compliance software certified by the Energy</w:t>
      </w:r>
      <w:r>
        <w:rPr>
          <w:spacing w:val="-13"/>
          <w:sz w:val="20"/>
        </w:rPr>
        <w:t xml:space="preserve"> </w:t>
      </w:r>
      <w:r>
        <w:rPr>
          <w:sz w:val="20"/>
        </w:rPr>
        <w:t>Commission.</w:t>
      </w:r>
    </w:p>
    <w:p w:rsidR="00A13C45" w:rsidRDefault="00A13C45">
      <w:pPr>
        <w:pStyle w:val="BodyText"/>
        <w:spacing w:before="5"/>
        <w:rPr>
          <w:sz w:val="17"/>
        </w:rPr>
      </w:pPr>
    </w:p>
    <w:p w:rsidR="00A13C45" w:rsidRDefault="00A26171">
      <w:pPr>
        <w:pStyle w:val="ListParagraph"/>
        <w:numPr>
          <w:ilvl w:val="0"/>
          <w:numId w:val="2"/>
        </w:numPr>
        <w:tabs>
          <w:tab w:val="left" w:pos="396"/>
        </w:tabs>
        <w:spacing w:before="0"/>
        <w:ind w:left="395" w:hanging="275"/>
        <w:rPr>
          <w:sz w:val="20"/>
        </w:rPr>
      </w:pPr>
      <w:r>
        <w:rPr>
          <w:sz w:val="20"/>
        </w:rPr>
        <w:t xml:space="preserve">For </w:t>
      </w:r>
      <w:r>
        <w:rPr>
          <w:sz w:val="20"/>
          <w:u w:val="single"/>
        </w:rPr>
        <w:t>nonresidential</w:t>
      </w:r>
      <w:r>
        <w:rPr>
          <w:sz w:val="20"/>
        </w:rPr>
        <w:t xml:space="preserve"> building projects that include indoor </w:t>
      </w:r>
      <w:r>
        <w:rPr>
          <w:sz w:val="20"/>
        </w:rPr>
        <w:t>lighting and mechanical</w:t>
      </w:r>
      <w:r>
        <w:rPr>
          <w:spacing w:val="-14"/>
          <w:sz w:val="20"/>
        </w:rPr>
        <w:t xml:space="preserve"> </w:t>
      </w:r>
      <w:r>
        <w:rPr>
          <w:sz w:val="20"/>
        </w:rPr>
        <w:t>systems:</w:t>
      </w:r>
    </w:p>
    <w:p w:rsidR="00A13C45" w:rsidRDefault="00A26171">
      <w:pPr>
        <w:pStyle w:val="BodyText"/>
        <w:spacing w:before="34" w:line="276" w:lineRule="auto"/>
        <w:ind w:left="120"/>
      </w:pPr>
      <w:r>
        <w:t>No greater than 85 percent of the Title 24, Part 6, Energy Budget for the Standard Design Building as calculated by compliance software certified by the Energy Commission.</w:t>
      </w:r>
    </w:p>
    <w:p w:rsidR="00A13C45" w:rsidRDefault="00A13C45">
      <w:pPr>
        <w:pStyle w:val="BodyText"/>
        <w:spacing w:before="1"/>
        <w:rPr>
          <w:sz w:val="23"/>
        </w:rPr>
      </w:pPr>
    </w:p>
    <w:p w:rsidR="00A13C45" w:rsidRDefault="00A26171">
      <w:pPr>
        <w:pStyle w:val="ListParagraph"/>
        <w:numPr>
          <w:ilvl w:val="0"/>
          <w:numId w:val="2"/>
        </w:numPr>
        <w:tabs>
          <w:tab w:val="left" w:pos="341"/>
        </w:tabs>
        <w:spacing w:before="0" w:line="276" w:lineRule="auto"/>
        <w:ind w:right="183" w:firstLine="0"/>
        <w:rPr>
          <w:sz w:val="20"/>
        </w:rPr>
      </w:pPr>
      <w:r>
        <w:rPr>
          <w:sz w:val="20"/>
          <w:u w:val="single"/>
        </w:rPr>
        <w:t>For high-rise residential and hotel/motel building projects: No greater than 90 percent of the Title 24, Part 6, Energy Budget for the Standard Design Building as calculated by compliance software certified by the Energy</w:t>
      </w:r>
      <w:r>
        <w:rPr>
          <w:spacing w:val="-4"/>
          <w:sz w:val="20"/>
          <w:u w:val="single"/>
        </w:rPr>
        <w:t xml:space="preserve"> </w:t>
      </w:r>
      <w:r>
        <w:rPr>
          <w:sz w:val="20"/>
          <w:u w:val="single"/>
        </w:rPr>
        <w:t>Commission.</w:t>
      </w:r>
    </w:p>
    <w:p w:rsidR="00A13C45" w:rsidRDefault="00A13C45">
      <w:pPr>
        <w:pStyle w:val="BodyText"/>
        <w:spacing w:before="9"/>
        <w:rPr>
          <w:sz w:val="14"/>
        </w:rPr>
      </w:pPr>
    </w:p>
    <w:p w:rsidR="00A13C45" w:rsidRDefault="00A26171">
      <w:pPr>
        <w:pStyle w:val="BodyText"/>
        <w:spacing w:before="92" w:line="278" w:lineRule="auto"/>
        <w:ind w:left="120"/>
      </w:pPr>
      <w:r>
        <w:rPr>
          <w:b/>
        </w:rPr>
        <w:t xml:space="preserve">Note: </w:t>
      </w:r>
      <w:r>
        <w:t>For Energy Budge</w:t>
      </w:r>
      <w:r>
        <w:t>t calculations, high-rise residential and hotel/motel buildings are considered nonresidential buildings.</w:t>
      </w:r>
    </w:p>
    <w:p w:rsidR="00A13C45" w:rsidRDefault="00A13C45">
      <w:pPr>
        <w:spacing w:line="278" w:lineRule="auto"/>
        <w:sectPr w:rsidR="00A13C45">
          <w:headerReference w:type="default" r:id="rId16"/>
          <w:pgSz w:w="12240" w:h="15840"/>
          <w:pgMar w:top="1360" w:right="1320" w:bottom="280" w:left="1320" w:header="0" w:footer="0" w:gutter="0"/>
          <w:cols w:space="720"/>
        </w:sectPr>
      </w:pPr>
    </w:p>
    <w:p w:rsidR="00A13C45" w:rsidRDefault="00A13C45">
      <w:pPr>
        <w:pStyle w:val="BodyText"/>
        <w:spacing w:before="5"/>
        <w:rPr>
          <w:sz w:val="12"/>
        </w:rPr>
      </w:pPr>
    </w:p>
    <w:p w:rsidR="00C07A03" w:rsidRDefault="00C07A03" w:rsidP="00C07A03">
      <w:pPr>
        <w:spacing w:before="12"/>
        <w:ind w:left="20"/>
        <w:jc w:val="center"/>
        <w:rPr>
          <w:b/>
          <w:sz w:val="20"/>
        </w:rPr>
      </w:pPr>
      <w:r>
        <w:rPr>
          <w:b/>
          <w:sz w:val="20"/>
        </w:rPr>
        <w:t>SECTION A5.</w:t>
      </w:r>
      <w:r>
        <w:fldChar w:fldCharType="begin"/>
      </w:r>
      <w:r>
        <w:rPr>
          <w:b/>
          <w:sz w:val="20"/>
        </w:rPr>
        <w:instrText xml:space="preserve"> PAGE </w:instrText>
      </w:r>
      <w:r>
        <w:fldChar w:fldCharType="separate"/>
      </w:r>
      <w:r>
        <w:rPr>
          <w:b/>
          <w:noProof/>
          <w:sz w:val="20"/>
        </w:rPr>
        <w:t>211</w:t>
      </w:r>
      <w:r>
        <w:fldChar w:fldCharType="end"/>
      </w:r>
    </w:p>
    <w:p w:rsidR="00A13C45" w:rsidRPr="00A26171" w:rsidRDefault="00A26171" w:rsidP="00A26171">
      <w:pPr>
        <w:pStyle w:val="Heading2"/>
      </w:pPr>
      <w:r w:rsidRPr="00A26171">
        <w:t>RENEWABLE ENERGY</w:t>
      </w:r>
    </w:p>
    <w:p w:rsidR="00A13C45" w:rsidRDefault="00A13C45">
      <w:pPr>
        <w:pStyle w:val="BodyText"/>
        <w:spacing w:before="1"/>
        <w:rPr>
          <w:b/>
        </w:rPr>
      </w:pPr>
    </w:p>
    <w:p w:rsidR="00A13C45" w:rsidRDefault="009749D5">
      <w:pPr>
        <w:pStyle w:val="BodyText"/>
        <w:spacing w:line="276" w:lineRule="auto"/>
        <w:ind w:left="119" w:right="200"/>
      </w:pPr>
      <w:r>
        <w:rPr>
          <w:b/>
        </w:rPr>
        <w:t xml:space="preserve">A5.211.1 On   </w:t>
      </w:r>
      <w:r w:rsidR="00A26171">
        <w:rPr>
          <w:b/>
        </w:rPr>
        <w:t xml:space="preserve">site renewable energy. </w:t>
      </w:r>
      <w:r>
        <w:t>Use on-</w:t>
      </w:r>
      <w:r w:rsidR="00A26171">
        <w:t>site renewable energy sources such as solar, wind, geothermal, low-impact</w:t>
      </w:r>
      <w:r w:rsidR="00A26171">
        <w:t xml:space="preserve"> hydro, biomass and bio-gas for at least 1 percent of the electric power calculated as the product of the building service voltage and the amperage specified by the electrical service overcurrent protection device rating or 1kW, (whichever is greater), in </w:t>
      </w:r>
      <w:r w:rsidR="00A26171">
        <w:t xml:space="preserve">addition to the electrical demand required to meet 1 percent of the natural gas and propane use. The building project’s electrical service overcurrent protection device rating shall be calculated in accordance with the </w:t>
      </w:r>
      <w:r w:rsidR="00A26171">
        <w:rPr>
          <w:strike/>
        </w:rPr>
        <w:t>2016</w:t>
      </w:r>
      <w:r w:rsidR="00A26171">
        <w:t xml:space="preserve"> </w:t>
      </w:r>
      <w:r w:rsidR="00A26171">
        <w:rPr>
          <w:i/>
        </w:rPr>
        <w:t>California Electrical Code</w:t>
      </w:r>
      <w:r w:rsidR="00A26171">
        <w:t xml:space="preserve">. Natural gas or propane use is calculated in accordance with the </w:t>
      </w:r>
      <w:r w:rsidR="00A26171">
        <w:rPr>
          <w:strike/>
        </w:rPr>
        <w:t>2016</w:t>
      </w:r>
      <w:r w:rsidR="00A26171">
        <w:t xml:space="preserve"> </w:t>
      </w:r>
      <w:r w:rsidR="00A26171">
        <w:rPr>
          <w:i/>
        </w:rPr>
        <w:t>California Plumbing Code</w:t>
      </w:r>
      <w:r w:rsidR="00A26171">
        <w:t>.</w:t>
      </w:r>
    </w:p>
    <w:p w:rsidR="00A13C45" w:rsidRDefault="00A13C45">
      <w:pPr>
        <w:pStyle w:val="BodyText"/>
        <w:spacing w:before="5"/>
        <w:rPr>
          <w:sz w:val="9"/>
        </w:rPr>
      </w:pPr>
    </w:p>
    <w:p w:rsidR="00A13C45" w:rsidRDefault="00A26171">
      <w:pPr>
        <w:pStyle w:val="BodyText"/>
        <w:spacing w:before="93" w:line="278" w:lineRule="auto"/>
        <w:ind w:left="120" w:right="166"/>
      </w:pPr>
      <w:r>
        <w:rPr>
          <w:b/>
        </w:rPr>
        <w:t xml:space="preserve">A5.211.1.1 Documentation. </w:t>
      </w:r>
      <w:r>
        <w:t xml:space="preserve">Using a calculation method approved by the California Energy Commission, calculate the renewable </w:t>
      </w:r>
      <w:r>
        <w:rPr>
          <w:strike/>
        </w:rPr>
        <w:t>onite</w:t>
      </w:r>
      <w:r>
        <w:rPr>
          <w:u w:val="single"/>
        </w:rPr>
        <w:t>onsite</w:t>
      </w:r>
      <w:r>
        <w:t xml:space="preserve"> energy system to meet t</w:t>
      </w:r>
      <w:r>
        <w:t>he requirements of Section A5.211.1, expressed in kW. Factor in net metering, if offered by local utility, on an annual basis.</w:t>
      </w:r>
    </w:p>
    <w:p w:rsidR="00A13C45" w:rsidRDefault="00A26171">
      <w:pPr>
        <w:pStyle w:val="BodyText"/>
        <w:spacing w:before="193" w:line="278" w:lineRule="auto"/>
        <w:ind w:left="120" w:right="622"/>
      </w:pPr>
      <w:r>
        <w:rPr>
          <w:b/>
        </w:rPr>
        <w:t xml:space="preserve">A5.211.3 Green power. </w:t>
      </w:r>
      <w:r>
        <w:t>If offered by local utility provider, participate in a renewable energy portfolio program that provides a m</w:t>
      </w:r>
      <w:r>
        <w:t>inimum of 50-percent electrical power from renewable sources. Maintain documentation through utility billings.</w:t>
      </w:r>
    </w:p>
    <w:p w:rsidR="00A13C45" w:rsidRDefault="00A13C45">
      <w:pPr>
        <w:spacing w:line="278" w:lineRule="auto"/>
        <w:sectPr w:rsidR="00A13C45">
          <w:headerReference w:type="default" r:id="rId17"/>
          <w:pgSz w:w="12240" w:h="15840"/>
          <w:pgMar w:top="1660" w:right="1320" w:bottom="280" w:left="1320" w:header="1447" w:footer="0" w:gutter="0"/>
          <w:pgNumType w:start="211"/>
          <w:cols w:space="720"/>
        </w:sectPr>
      </w:pPr>
    </w:p>
    <w:p w:rsidR="00A13C45" w:rsidRDefault="00A13C45">
      <w:pPr>
        <w:pStyle w:val="BodyText"/>
        <w:spacing w:before="5"/>
        <w:rPr>
          <w:sz w:val="12"/>
        </w:rPr>
      </w:pPr>
    </w:p>
    <w:p w:rsidR="00C07A03" w:rsidRPr="00C07A03" w:rsidRDefault="00C07A03" w:rsidP="00C07A03">
      <w:pPr>
        <w:pStyle w:val="Heading2"/>
        <w:ind w:left="0"/>
        <w:rPr>
          <w:bCs w:val="0"/>
        </w:rPr>
      </w:pPr>
      <w:r w:rsidRPr="00C07A03">
        <w:rPr>
          <w:bCs w:val="0"/>
        </w:rPr>
        <w:t>SECTION A5.212</w:t>
      </w:r>
    </w:p>
    <w:p w:rsidR="00A13C45" w:rsidRPr="00A26171" w:rsidRDefault="00A26171" w:rsidP="00A26171">
      <w:pPr>
        <w:pStyle w:val="Heading2"/>
      </w:pPr>
      <w:r w:rsidRPr="00A26171">
        <w:t>ELEVATORS, ESCALATORS AND OTHER EQUIPMENT</w:t>
      </w:r>
    </w:p>
    <w:p w:rsidR="00A13C45" w:rsidRDefault="00A13C45">
      <w:pPr>
        <w:pStyle w:val="BodyText"/>
        <w:spacing w:before="1"/>
        <w:rPr>
          <w:b/>
        </w:rPr>
      </w:pPr>
    </w:p>
    <w:p w:rsidR="00A13C45" w:rsidRDefault="00A26171">
      <w:pPr>
        <w:pStyle w:val="BodyText"/>
        <w:spacing w:line="278" w:lineRule="auto"/>
        <w:ind w:left="120" w:right="256" w:hanging="1"/>
      </w:pPr>
      <w:r>
        <w:rPr>
          <w:b/>
        </w:rPr>
        <w:t xml:space="preserve">A5.212.1 Elevators and escalators. </w:t>
      </w:r>
      <w:r>
        <w:t>In buildings with more than one elevator or two escalators, provide systems and controls to reduce the energy demand of elevators and escalators as follows. Document systems operation and controls in the project specifications and commissioning plan.</w:t>
      </w:r>
    </w:p>
    <w:p w:rsidR="00A13C45" w:rsidRDefault="00A26171">
      <w:pPr>
        <w:pStyle w:val="BodyText"/>
        <w:spacing w:before="193" w:line="280" w:lineRule="auto"/>
        <w:ind w:left="120" w:right="577"/>
      </w:pPr>
      <w:r>
        <w:rPr>
          <w:b/>
        </w:rPr>
        <w:t>A5.21</w:t>
      </w:r>
      <w:r>
        <w:rPr>
          <w:b/>
        </w:rPr>
        <w:t xml:space="preserve">2.1.1 Elevators. </w:t>
      </w:r>
      <w:r>
        <w:t>Traction elevators shall have a regenerative drive system that feeds electrical power back into the building grid when the elevator is in motion.</w:t>
      </w:r>
    </w:p>
    <w:p w:rsidR="00A13C45" w:rsidRDefault="00A26171">
      <w:pPr>
        <w:spacing w:before="192" w:line="280" w:lineRule="auto"/>
        <w:ind w:left="120" w:right="117"/>
        <w:rPr>
          <w:sz w:val="20"/>
        </w:rPr>
      </w:pPr>
      <w:r>
        <w:rPr>
          <w:b/>
          <w:sz w:val="20"/>
        </w:rPr>
        <w:t xml:space="preserve">A5.212.1.1.1 Car lights and fan. </w:t>
      </w:r>
      <w:r>
        <w:rPr>
          <w:sz w:val="20"/>
        </w:rPr>
        <w:t>A parked elevator shall turn off its car lights and fan auto</w:t>
      </w:r>
      <w:r>
        <w:rPr>
          <w:sz w:val="20"/>
        </w:rPr>
        <w:t>matically until the elevator is called for use.</w:t>
      </w:r>
    </w:p>
    <w:p w:rsidR="00A13C45" w:rsidRDefault="00A26171">
      <w:pPr>
        <w:pStyle w:val="BodyText"/>
        <w:spacing w:before="189" w:line="283" w:lineRule="auto"/>
        <w:ind w:left="120" w:right="334"/>
      </w:pPr>
      <w:r>
        <w:rPr>
          <w:b/>
        </w:rPr>
        <w:t xml:space="preserve">A5.212.1.2 Escalators. </w:t>
      </w:r>
      <w:r>
        <w:t>An escalator shall have a VVVF motor drive system that is fully regenerative when the escalator is in motion.</w:t>
      </w:r>
    </w:p>
    <w:p w:rsidR="00A13C45" w:rsidRDefault="00A26171">
      <w:pPr>
        <w:pStyle w:val="BodyText"/>
        <w:spacing w:before="186" w:line="278" w:lineRule="auto"/>
        <w:ind w:left="120" w:right="132"/>
      </w:pPr>
      <w:r>
        <w:rPr>
          <w:b/>
        </w:rPr>
        <w:t xml:space="preserve">A5.212.1.4 Controls. </w:t>
      </w:r>
      <w:r>
        <w:t>Controls that reduce energy demand shall meet requirem</w:t>
      </w:r>
      <w:r>
        <w:t xml:space="preserve">ents of CCR, Title 8, Chapter 4, Subchapter 6 and shall not interrupt emergency operations for elevators required in CCR, Title 24, Part 2, </w:t>
      </w:r>
      <w:r>
        <w:rPr>
          <w:i/>
        </w:rPr>
        <w:t>California Building Code</w:t>
      </w:r>
      <w:r>
        <w:t>.</w:t>
      </w:r>
    </w:p>
    <w:p w:rsidR="00A13C45" w:rsidRDefault="00A13C45">
      <w:pPr>
        <w:spacing w:line="278" w:lineRule="auto"/>
        <w:sectPr w:rsidR="00A13C45">
          <w:pgSz w:w="12240" w:h="15840"/>
          <w:pgMar w:top="1660" w:right="1320" w:bottom="280" w:left="1320" w:header="1447" w:footer="0" w:gutter="0"/>
          <w:cols w:space="720"/>
        </w:sectPr>
      </w:pPr>
    </w:p>
    <w:p w:rsidR="00A13C45" w:rsidRDefault="00A13C45">
      <w:pPr>
        <w:pStyle w:val="BodyText"/>
        <w:spacing w:before="5"/>
        <w:rPr>
          <w:sz w:val="12"/>
        </w:rPr>
      </w:pPr>
    </w:p>
    <w:p w:rsidR="00C07A03" w:rsidRPr="00C07A03" w:rsidRDefault="00C07A03" w:rsidP="00C07A03">
      <w:pPr>
        <w:pStyle w:val="Heading2"/>
        <w:ind w:left="0"/>
        <w:rPr>
          <w:bCs w:val="0"/>
        </w:rPr>
      </w:pPr>
      <w:r w:rsidRPr="00C07A03">
        <w:rPr>
          <w:bCs w:val="0"/>
        </w:rPr>
        <w:t>SECTION A5.213</w:t>
      </w:r>
    </w:p>
    <w:p w:rsidR="00A13C45" w:rsidRPr="00A26171" w:rsidRDefault="00A26171" w:rsidP="00A26171">
      <w:pPr>
        <w:pStyle w:val="Heading2"/>
      </w:pPr>
      <w:r w:rsidRPr="00A26171">
        <w:t>ENERGY EFFICIENT STEEL FRAMING</w:t>
      </w:r>
    </w:p>
    <w:p w:rsidR="00A13C45" w:rsidRDefault="00A13C45">
      <w:pPr>
        <w:pStyle w:val="BodyText"/>
        <w:spacing w:before="1"/>
        <w:rPr>
          <w:b/>
        </w:rPr>
      </w:pPr>
    </w:p>
    <w:p w:rsidR="00A13C45" w:rsidRDefault="00A26171">
      <w:pPr>
        <w:pStyle w:val="BodyText"/>
        <w:spacing w:line="280" w:lineRule="auto"/>
        <w:ind w:left="120" w:right="389"/>
      </w:pPr>
      <w:r>
        <w:rPr>
          <w:b/>
        </w:rPr>
        <w:t xml:space="preserve">A5.213.1 Steel framing. </w:t>
      </w:r>
      <w:r>
        <w:t>Design steel framin</w:t>
      </w:r>
      <w:r>
        <w:t>g for maximum energy efficiency. Techniques for avoiding thermal bridging in the envelope include:</w:t>
      </w:r>
    </w:p>
    <w:p w:rsidR="00A13C45" w:rsidRDefault="00A26171">
      <w:pPr>
        <w:pStyle w:val="ListParagraph"/>
        <w:numPr>
          <w:ilvl w:val="0"/>
          <w:numId w:val="1"/>
        </w:numPr>
        <w:tabs>
          <w:tab w:val="left" w:pos="397"/>
        </w:tabs>
        <w:spacing w:before="196"/>
        <w:rPr>
          <w:sz w:val="20"/>
        </w:rPr>
      </w:pPr>
      <w:r>
        <w:rPr>
          <w:sz w:val="20"/>
        </w:rPr>
        <w:t>Exterior rigid</w:t>
      </w:r>
      <w:r>
        <w:rPr>
          <w:spacing w:val="-2"/>
          <w:sz w:val="20"/>
        </w:rPr>
        <w:t xml:space="preserve"> </w:t>
      </w:r>
      <w:r>
        <w:rPr>
          <w:sz w:val="20"/>
        </w:rPr>
        <w:t>insulation;</w:t>
      </w:r>
    </w:p>
    <w:p w:rsidR="00A13C45" w:rsidRDefault="00A13C45">
      <w:pPr>
        <w:pStyle w:val="BodyText"/>
        <w:spacing w:before="3"/>
      </w:pPr>
    </w:p>
    <w:p w:rsidR="00A13C45" w:rsidRDefault="00A26171">
      <w:pPr>
        <w:pStyle w:val="ListParagraph"/>
        <w:numPr>
          <w:ilvl w:val="0"/>
          <w:numId w:val="1"/>
        </w:numPr>
        <w:tabs>
          <w:tab w:val="left" w:pos="397"/>
        </w:tabs>
        <w:spacing w:before="0"/>
        <w:rPr>
          <w:sz w:val="20"/>
        </w:rPr>
      </w:pPr>
      <w:r>
        <w:rPr>
          <w:sz w:val="20"/>
        </w:rPr>
        <w:t>Punching large holes in the stud web without affecting the structural integrity of the</w:t>
      </w:r>
      <w:r>
        <w:rPr>
          <w:spacing w:val="-19"/>
          <w:sz w:val="20"/>
        </w:rPr>
        <w:t xml:space="preserve"> </w:t>
      </w:r>
      <w:r>
        <w:rPr>
          <w:sz w:val="20"/>
        </w:rPr>
        <w:t>stud;</w:t>
      </w:r>
    </w:p>
    <w:p w:rsidR="00A13C45" w:rsidRDefault="00A13C45">
      <w:pPr>
        <w:pStyle w:val="BodyText"/>
        <w:spacing w:before="6"/>
      </w:pPr>
    </w:p>
    <w:p w:rsidR="00A13C45" w:rsidRDefault="00A26171">
      <w:pPr>
        <w:pStyle w:val="ListParagraph"/>
        <w:numPr>
          <w:ilvl w:val="0"/>
          <w:numId w:val="1"/>
        </w:numPr>
        <w:tabs>
          <w:tab w:val="left" w:pos="396"/>
        </w:tabs>
        <w:spacing w:before="0"/>
        <w:ind w:left="395" w:hanging="275"/>
        <w:rPr>
          <w:sz w:val="20"/>
        </w:rPr>
      </w:pPr>
      <w:r>
        <w:rPr>
          <w:sz w:val="20"/>
        </w:rPr>
        <w:t>Spacing the studs as far as possible while maintaining the structural integrity of the structure;</w:t>
      </w:r>
      <w:r>
        <w:rPr>
          <w:spacing w:val="-29"/>
          <w:sz w:val="20"/>
        </w:rPr>
        <w:t xml:space="preserve"> </w:t>
      </w:r>
      <w:r>
        <w:rPr>
          <w:sz w:val="20"/>
        </w:rPr>
        <w:t>and</w:t>
      </w:r>
    </w:p>
    <w:p w:rsidR="00A13C45" w:rsidRDefault="00A13C45">
      <w:pPr>
        <w:pStyle w:val="BodyText"/>
        <w:spacing w:before="3"/>
      </w:pPr>
    </w:p>
    <w:p w:rsidR="00A13C45" w:rsidRDefault="00A26171" w:rsidP="00615394">
      <w:pPr>
        <w:pStyle w:val="ListParagraph"/>
        <w:numPr>
          <w:ilvl w:val="0"/>
          <w:numId w:val="1"/>
        </w:numPr>
        <w:tabs>
          <w:tab w:val="left" w:pos="396"/>
        </w:tabs>
        <w:spacing w:before="0"/>
        <w:ind w:left="395" w:hanging="275"/>
        <w:rPr>
          <w:sz w:val="20"/>
        </w:rPr>
      </w:pPr>
      <w:r>
        <w:rPr>
          <w:sz w:val="20"/>
        </w:rPr>
        <w:t>Detailed design of intersections of wall openings and building intersections of floors, walls and</w:t>
      </w:r>
      <w:r>
        <w:rPr>
          <w:spacing w:val="-30"/>
          <w:sz w:val="20"/>
        </w:rPr>
        <w:t xml:space="preserve"> </w:t>
      </w:r>
      <w:r>
        <w:rPr>
          <w:sz w:val="20"/>
        </w:rPr>
        <w:t>roofs.</w:t>
      </w:r>
    </w:p>
    <w:p w:rsidR="00615394" w:rsidRPr="00615394" w:rsidRDefault="00615394" w:rsidP="00615394">
      <w:pPr>
        <w:pStyle w:val="ListParagraph"/>
        <w:rPr>
          <w:sz w:val="20"/>
        </w:rPr>
      </w:pPr>
    </w:p>
    <w:p w:rsidR="00615394" w:rsidRPr="00615394" w:rsidRDefault="00615394" w:rsidP="00615394">
      <w:pPr>
        <w:pStyle w:val="ListParagraph"/>
        <w:tabs>
          <w:tab w:val="left" w:pos="396"/>
        </w:tabs>
        <w:spacing w:before="0"/>
        <w:ind w:left="395"/>
        <w:rPr>
          <w:sz w:val="20"/>
        </w:rPr>
      </w:pPr>
    </w:p>
    <w:p w:rsidR="00A13C45" w:rsidRDefault="00A26171">
      <w:pPr>
        <w:pStyle w:val="Heading1"/>
        <w:spacing w:line="276" w:lineRule="auto"/>
      </w:pPr>
      <w:r>
        <w:rPr>
          <w:u w:val="single"/>
        </w:rPr>
        <w:t>N</w:t>
      </w:r>
      <w:r>
        <w:rPr>
          <w:u w:val="single"/>
        </w:rPr>
        <w:t xml:space="preserve">ote: </w:t>
      </w:r>
      <w:r>
        <w:rPr>
          <w:u w:val="single"/>
        </w:rPr>
        <w:t>Authority: Sections 25213, 25218, 25218.5, 25402 and 25402.1, Public Resources Code.</w:t>
      </w:r>
      <w:r>
        <w:t xml:space="preserve"> </w:t>
      </w:r>
      <w:r>
        <w:rPr>
          <w:u w:val="single"/>
        </w:rPr>
        <w:t>Reference: Sections 25402, 25402.1, 25402.4, and 25402.8, Public Resources Code</w:t>
      </w:r>
    </w:p>
    <w:sectPr w:rsidR="00A13C45">
      <w:pgSz w:w="12240" w:h="15840"/>
      <w:pgMar w:top="1660" w:right="1320" w:bottom="280" w:left="1320" w:header="14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6171">
      <w:r>
        <w:separator/>
      </w:r>
    </w:p>
  </w:endnote>
  <w:endnote w:type="continuationSeparator" w:id="0">
    <w:p w:rsidR="00000000" w:rsidRDefault="00A2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6171">
      <w:r>
        <w:separator/>
      </w:r>
    </w:p>
  </w:footnote>
  <w:footnote w:type="continuationSeparator" w:id="0">
    <w:p w:rsidR="00000000" w:rsidRDefault="00A2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45" w:rsidRDefault="00A13C45">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0BA"/>
    <w:multiLevelType w:val="hybridMultilevel"/>
    <w:tmpl w:val="1A0E05B2"/>
    <w:lvl w:ilvl="0" w:tplc="DE7A6CD6">
      <w:start w:val="1"/>
      <w:numFmt w:val="decimal"/>
      <w:lvlText w:val="%1."/>
      <w:lvlJc w:val="left"/>
      <w:pPr>
        <w:ind w:left="120" w:hanging="276"/>
      </w:pPr>
      <w:rPr>
        <w:rFonts w:hint="default"/>
        <w:strike/>
        <w:spacing w:val="-1"/>
        <w:w w:val="99"/>
        <w:lang w:val="en-US" w:eastAsia="en-US" w:bidi="en-US"/>
      </w:rPr>
    </w:lvl>
    <w:lvl w:ilvl="1" w:tplc="EF9E1D52">
      <w:numFmt w:val="bullet"/>
      <w:lvlText w:val="•"/>
      <w:lvlJc w:val="left"/>
      <w:pPr>
        <w:ind w:left="1068" w:hanging="276"/>
      </w:pPr>
      <w:rPr>
        <w:rFonts w:hint="default"/>
        <w:lang w:val="en-US" w:eastAsia="en-US" w:bidi="en-US"/>
      </w:rPr>
    </w:lvl>
    <w:lvl w:ilvl="2" w:tplc="5158FC00">
      <w:numFmt w:val="bullet"/>
      <w:lvlText w:val="•"/>
      <w:lvlJc w:val="left"/>
      <w:pPr>
        <w:ind w:left="2016" w:hanging="276"/>
      </w:pPr>
      <w:rPr>
        <w:rFonts w:hint="default"/>
        <w:lang w:val="en-US" w:eastAsia="en-US" w:bidi="en-US"/>
      </w:rPr>
    </w:lvl>
    <w:lvl w:ilvl="3" w:tplc="26B695CA">
      <w:numFmt w:val="bullet"/>
      <w:lvlText w:val="•"/>
      <w:lvlJc w:val="left"/>
      <w:pPr>
        <w:ind w:left="2964" w:hanging="276"/>
      </w:pPr>
      <w:rPr>
        <w:rFonts w:hint="default"/>
        <w:lang w:val="en-US" w:eastAsia="en-US" w:bidi="en-US"/>
      </w:rPr>
    </w:lvl>
    <w:lvl w:ilvl="4" w:tplc="D980A7E0">
      <w:numFmt w:val="bullet"/>
      <w:lvlText w:val="•"/>
      <w:lvlJc w:val="left"/>
      <w:pPr>
        <w:ind w:left="3912" w:hanging="276"/>
      </w:pPr>
      <w:rPr>
        <w:rFonts w:hint="default"/>
        <w:lang w:val="en-US" w:eastAsia="en-US" w:bidi="en-US"/>
      </w:rPr>
    </w:lvl>
    <w:lvl w:ilvl="5" w:tplc="E44CC44C">
      <w:numFmt w:val="bullet"/>
      <w:lvlText w:val="•"/>
      <w:lvlJc w:val="left"/>
      <w:pPr>
        <w:ind w:left="4860" w:hanging="276"/>
      </w:pPr>
      <w:rPr>
        <w:rFonts w:hint="default"/>
        <w:lang w:val="en-US" w:eastAsia="en-US" w:bidi="en-US"/>
      </w:rPr>
    </w:lvl>
    <w:lvl w:ilvl="6" w:tplc="4B76804A">
      <w:numFmt w:val="bullet"/>
      <w:lvlText w:val="•"/>
      <w:lvlJc w:val="left"/>
      <w:pPr>
        <w:ind w:left="5808" w:hanging="276"/>
      </w:pPr>
      <w:rPr>
        <w:rFonts w:hint="default"/>
        <w:lang w:val="en-US" w:eastAsia="en-US" w:bidi="en-US"/>
      </w:rPr>
    </w:lvl>
    <w:lvl w:ilvl="7" w:tplc="3990DC22">
      <w:numFmt w:val="bullet"/>
      <w:lvlText w:val="•"/>
      <w:lvlJc w:val="left"/>
      <w:pPr>
        <w:ind w:left="6756" w:hanging="276"/>
      </w:pPr>
      <w:rPr>
        <w:rFonts w:hint="default"/>
        <w:lang w:val="en-US" w:eastAsia="en-US" w:bidi="en-US"/>
      </w:rPr>
    </w:lvl>
    <w:lvl w:ilvl="8" w:tplc="7F0C6550">
      <w:numFmt w:val="bullet"/>
      <w:lvlText w:val="•"/>
      <w:lvlJc w:val="left"/>
      <w:pPr>
        <w:ind w:left="7704" w:hanging="276"/>
      </w:pPr>
      <w:rPr>
        <w:rFonts w:hint="default"/>
        <w:lang w:val="en-US" w:eastAsia="en-US" w:bidi="en-US"/>
      </w:rPr>
    </w:lvl>
  </w:abstractNum>
  <w:abstractNum w:abstractNumId="1" w15:restartNumberingAfterBreak="0">
    <w:nsid w:val="0EA92762"/>
    <w:multiLevelType w:val="hybridMultilevel"/>
    <w:tmpl w:val="342252DC"/>
    <w:lvl w:ilvl="0" w:tplc="20B8A3EC">
      <w:start w:val="1"/>
      <w:numFmt w:val="decimal"/>
      <w:lvlText w:val="%1."/>
      <w:lvlJc w:val="left"/>
      <w:pPr>
        <w:ind w:left="120" w:hanging="276"/>
      </w:pPr>
      <w:rPr>
        <w:rFonts w:hint="default"/>
        <w:strike/>
        <w:spacing w:val="-1"/>
        <w:w w:val="99"/>
        <w:lang w:val="en-US" w:eastAsia="en-US" w:bidi="en-US"/>
      </w:rPr>
    </w:lvl>
    <w:lvl w:ilvl="1" w:tplc="00A86BD6">
      <w:numFmt w:val="bullet"/>
      <w:lvlText w:val="•"/>
      <w:lvlJc w:val="left"/>
      <w:pPr>
        <w:ind w:left="1068" w:hanging="276"/>
      </w:pPr>
      <w:rPr>
        <w:rFonts w:hint="default"/>
        <w:lang w:val="en-US" w:eastAsia="en-US" w:bidi="en-US"/>
      </w:rPr>
    </w:lvl>
    <w:lvl w:ilvl="2" w:tplc="6CAC9B06">
      <w:numFmt w:val="bullet"/>
      <w:lvlText w:val="•"/>
      <w:lvlJc w:val="left"/>
      <w:pPr>
        <w:ind w:left="2016" w:hanging="276"/>
      </w:pPr>
      <w:rPr>
        <w:rFonts w:hint="default"/>
        <w:lang w:val="en-US" w:eastAsia="en-US" w:bidi="en-US"/>
      </w:rPr>
    </w:lvl>
    <w:lvl w:ilvl="3" w:tplc="C23CF050">
      <w:numFmt w:val="bullet"/>
      <w:lvlText w:val="•"/>
      <w:lvlJc w:val="left"/>
      <w:pPr>
        <w:ind w:left="2964" w:hanging="276"/>
      </w:pPr>
      <w:rPr>
        <w:rFonts w:hint="default"/>
        <w:lang w:val="en-US" w:eastAsia="en-US" w:bidi="en-US"/>
      </w:rPr>
    </w:lvl>
    <w:lvl w:ilvl="4" w:tplc="BC9A0294">
      <w:numFmt w:val="bullet"/>
      <w:lvlText w:val="•"/>
      <w:lvlJc w:val="left"/>
      <w:pPr>
        <w:ind w:left="3912" w:hanging="276"/>
      </w:pPr>
      <w:rPr>
        <w:rFonts w:hint="default"/>
        <w:lang w:val="en-US" w:eastAsia="en-US" w:bidi="en-US"/>
      </w:rPr>
    </w:lvl>
    <w:lvl w:ilvl="5" w:tplc="25BC1920">
      <w:numFmt w:val="bullet"/>
      <w:lvlText w:val="•"/>
      <w:lvlJc w:val="left"/>
      <w:pPr>
        <w:ind w:left="4860" w:hanging="276"/>
      </w:pPr>
      <w:rPr>
        <w:rFonts w:hint="default"/>
        <w:lang w:val="en-US" w:eastAsia="en-US" w:bidi="en-US"/>
      </w:rPr>
    </w:lvl>
    <w:lvl w:ilvl="6" w:tplc="44249288">
      <w:numFmt w:val="bullet"/>
      <w:lvlText w:val="•"/>
      <w:lvlJc w:val="left"/>
      <w:pPr>
        <w:ind w:left="5808" w:hanging="276"/>
      </w:pPr>
      <w:rPr>
        <w:rFonts w:hint="default"/>
        <w:lang w:val="en-US" w:eastAsia="en-US" w:bidi="en-US"/>
      </w:rPr>
    </w:lvl>
    <w:lvl w:ilvl="7" w:tplc="CD92F9E2">
      <w:numFmt w:val="bullet"/>
      <w:lvlText w:val="•"/>
      <w:lvlJc w:val="left"/>
      <w:pPr>
        <w:ind w:left="6756" w:hanging="276"/>
      </w:pPr>
      <w:rPr>
        <w:rFonts w:hint="default"/>
        <w:lang w:val="en-US" w:eastAsia="en-US" w:bidi="en-US"/>
      </w:rPr>
    </w:lvl>
    <w:lvl w:ilvl="8" w:tplc="00B6C550">
      <w:numFmt w:val="bullet"/>
      <w:lvlText w:val="•"/>
      <w:lvlJc w:val="left"/>
      <w:pPr>
        <w:ind w:left="7704" w:hanging="276"/>
      </w:pPr>
      <w:rPr>
        <w:rFonts w:hint="default"/>
        <w:lang w:val="en-US" w:eastAsia="en-US" w:bidi="en-US"/>
      </w:rPr>
    </w:lvl>
  </w:abstractNum>
  <w:abstractNum w:abstractNumId="2" w15:restartNumberingAfterBreak="0">
    <w:nsid w:val="10067490"/>
    <w:multiLevelType w:val="hybridMultilevel"/>
    <w:tmpl w:val="09FEC512"/>
    <w:lvl w:ilvl="0" w:tplc="E86AB87C">
      <w:start w:val="1"/>
      <w:numFmt w:val="decimal"/>
      <w:lvlText w:val="%1."/>
      <w:lvlJc w:val="left"/>
      <w:pPr>
        <w:ind w:left="120" w:hanging="276"/>
      </w:pPr>
      <w:rPr>
        <w:rFonts w:ascii="Arial" w:eastAsia="Arial" w:hAnsi="Arial" w:cs="Arial" w:hint="default"/>
        <w:spacing w:val="-1"/>
        <w:w w:val="99"/>
        <w:sz w:val="20"/>
        <w:szCs w:val="20"/>
        <w:lang w:val="en-US" w:eastAsia="en-US" w:bidi="en-US"/>
      </w:rPr>
    </w:lvl>
    <w:lvl w:ilvl="1" w:tplc="E626DE48">
      <w:numFmt w:val="bullet"/>
      <w:lvlText w:val="•"/>
      <w:lvlJc w:val="left"/>
      <w:pPr>
        <w:ind w:left="1068" w:hanging="276"/>
      </w:pPr>
      <w:rPr>
        <w:rFonts w:hint="default"/>
        <w:lang w:val="en-US" w:eastAsia="en-US" w:bidi="en-US"/>
      </w:rPr>
    </w:lvl>
    <w:lvl w:ilvl="2" w:tplc="E9B09510">
      <w:numFmt w:val="bullet"/>
      <w:lvlText w:val="•"/>
      <w:lvlJc w:val="left"/>
      <w:pPr>
        <w:ind w:left="2016" w:hanging="276"/>
      </w:pPr>
      <w:rPr>
        <w:rFonts w:hint="default"/>
        <w:lang w:val="en-US" w:eastAsia="en-US" w:bidi="en-US"/>
      </w:rPr>
    </w:lvl>
    <w:lvl w:ilvl="3" w:tplc="0B5AC17E">
      <w:numFmt w:val="bullet"/>
      <w:lvlText w:val="•"/>
      <w:lvlJc w:val="left"/>
      <w:pPr>
        <w:ind w:left="2964" w:hanging="276"/>
      </w:pPr>
      <w:rPr>
        <w:rFonts w:hint="default"/>
        <w:lang w:val="en-US" w:eastAsia="en-US" w:bidi="en-US"/>
      </w:rPr>
    </w:lvl>
    <w:lvl w:ilvl="4" w:tplc="6FB27A0A">
      <w:numFmt w:val="bullet"/>
      <w:lvlText w:val="•"/>
      <w:lvlJc w:val="left"/>
      <w:pPr>
        <w:ind w:left="3912" w:hanging="276"/>
      </w:pPr>
      <w:rPr>
        <w:rFonts w:hint="default"/>
        <w:lang w:val="en-US" w:eastAsia="en-US" w:bidi="en-US"/>
      </w:rPr>
    </w:lvl>
    <w:lvl w:ilvl="5" w:tplc="6C1844E6">
      <w:numFmt w:val="bullet"/>
      <w:lvlText w:val="•"/>
      <w:lvlJc w:val="left"/>
      <w:pPr>
        <w:ind w:left="4860" w:hanging="276"/>
      </w:pPr>
      <w:rPr>
        <w:rFonts w:hint="default"/>
        <w:lang w:val="en-US" w:eastAsia="en-US" w:bidi="en-US"/>
      </w:rPr>
    </w:lvl>
    <w:lvl w:ilvl="6" w:tplc="BB72942C">
      <w:numFmt w:val="bullet"/>
      <w:lvlText w:val="•"/>
      <w:lvlJc w:val="left"/>
      <w:pPr>
        <w:ind w:left="5808" w:hanging="276"/>
      </w:pPr>
      <w:rPr>
        <w:rFonts w:hint="default"/>
        <w:lang w:val="en-US" w:eastAsia="en-US" w:bidi="en-US"/>
      </w:rPr>
    </w:lvl>
    <w:lvl w:ilvl="7" w:tplc="03C2A544">
      <w:numFmt w:val="bullet"/>
      <w:lvlText w:val="•"/>
      <w:lvlJc w:val="left"/>
      <w:pPr>
        <w:ind w:left="6756" w:hanging="276"/>
      </w:pPr>
      <w:rPr>
        <w:rFonts w:hint="default"/>
        <w:lang w:val="en-US" w:eastAsia="en-US" w:bidi="en-US"/>
      </w:rPr>
    </w:lvl>
    <w:lvl w:ilvl="8" w:tplc="BC8CF730">
      <w:numFmt w:val="bullet"/>
      <w:lvlText w:val="•"/>
      <w:lvlJc w:val="left"/>
      <w:pPr>
        <w:ind w:left="7704" w:hanging="276"/>
      </w:pPr>
      <w:rPr>
        <w:rFonts w:hint="default"/>
        <w:lang w:val="en-US" w:eastAsia="en-US" w:bidi="en-US"/>
      </w:rPr>
    </w:lvl>
  </w:abstractNum>
  <w:abstractNum w:abstractNumId="3" w15:restartNumberingAfterBreak="0">
    <w:nsid w:val="160E55FC"/>
    <w:multiLevelType w:val="hybridMultilevel"/>
    <w:tmpl w:val="ED36ADFA"/>
    <w:lvl w:ilvl="0" w:tplc="F2C29B06">
      <w:start w:val="1"/>
      <w:numFmt w:val="decimal"/>
      <w:lvlText w:val="%1."/>
      <w:lvlJc w:val="left"/>
      <w:pPr>
        <w:ind w:left="120" w:hanging="276"/>
      </w:pPr>
      <w:rPr>
        <w:rFonts w:hint="default"/>
        <w:strike/>
        <w:spacing w:val="-1"/>
        <w:w w:val="99"/>
        <w:lang w:val="en-US" w:eastAsia="en-US" w:bidi="en-US"/>
      </w:rPr>
    </w:lvl>
    <w:lvl w:ilvl="1" w:tplc="B20C115A">
      <w:numFmt w:val="bullet"/>
      <w:lvlText w:val="•"/>
      <w:lvlJc w:val="left"/>
      <w:pPr>
        <w:ind w:left="1068" w:hanging="276"/>
      </w:pPr>
      <w:rPr>
        <w:rFonts w:hint="default"/>
        <w:lang w:val="en-US" w:eastAsia="en-US" w:bidi="en-US"/>
      </w:rPr>
    </w:lvl>
    <w:lvl w:ilvl="2" w:tplc="F518301C">
      <w:numFmt w:val="bullet"/>
      <w:lvlText w:val="•"/>
      <w:lvlJc w:val="left"/>
      <w:pPr>
        <w:ind w:left="2016" w:hanging="276"/>
      </w:pPr>
      <w:rPr>
        <w:rFonts w:hint="default"/>
        <w:lang w:val="en-US" w:eastAsia="en-US" w:bidi="en-US"/>
      </w:rPr>
    </w:lvl>
    <w:lvl w:ilvl="3" w:tplc="2F3A5196">
      <w:numFmt w:val="bullet"/>
      <w:lvlText w:val="•"/>
      <w:lvlJc w:val="left"/>
      <w:pPr>
        <w:ind w:left="2964" w:hanging="276"/>
      </w:pPr>
      <w:rPr>
        <w:rFonts w:hint="default"/>
        <w:lang w:val="en-US" w:eastAsia="en-US" w:bidi="en-US"/>
      </w:rPr>
    </w:lvl>
    <w:lvl w:ilvl="4" w:tplc="5C62AAFA">
      <w:numFmt w:val="bullet"/>
      <w:lvlText w:val="•"/>
      <w:lvlJc w:val="left"/>
      <w:pPr>
        <w:ind w:left="3912" w:hanging="276"/>
      </w:pPr>
      <w:rPr>
        <w:rFonts w:hint="default"/>
        <w:lang w:val="en-US" w:eastAsia="en-US" w:bidi="en-US"/>
      </w:rPr>
    </w:lvl>
    <w:lvl w:ilvl="5" w:tplc="BDF4AA28">
      <w:numFmt w:val="bullet"/>
      <w:lvlText w:val="•"/>
      <w:lvlJc w:val="left"/>
      <w:pPr>
        <w:ind w:left="4860" w:hanging="276"/>
      </w:pPr>
      <w:rPr>
        <w:rFonts w:hint="default"/>
        <w:lang w:val="en-US" w:eastAsia="en-US" w:bidi="en-US"/>
      </w:rPr>
    </w:lvl>
    <w:lvl w:ilvl="6" w:tplc="4D5413EA">
      <w:numFmt w:val="bullet"/>
      <w:lvlText w:val="•"/>
      <w:lvlJc w:val="left"/>
      <w:pPr>
        <w:ind w:left="5808" w:hanging="276"/>
      </w:pPr>
      <w:rPr>
        <w:rFonts w:hint="default"/>
        <w:lang w:val="en-US" w:eastAsia="en-US" w:bidi="en-US"/>
      </w:rPr>
    </w:lvl>
    <w:lvl w:ilvl="7" w:tplc="3FDE90A2">
      <w:numFmt w:val="bullet"/>
      <w:lvlText w:val="•"/>
      <w:lvlJc w:val="left"/>
      <w:pPr>
        <w:ind w:left="6756" w:hanging="276"/>
      </w:pPr>
      <w:rPr>
        <w:rFonts w:hint="default"/>
        <w:lang w:val="en-US" w:eastAsia="en-US" w:bidi="en-US"/>
      </w:rPr>
    </w:lvl>
    <w:lvl w:ilvl="8" w:tplc="08DA14B2">
      <w:numFmt w:val="bullet"/>
      <w:lvlText w:val="•"/>
      <w:lvlJc w:val="left"/>
      <w:pPr>
        <w:ind w:left="7704" w:hanging="276"/>
      </w:pPr>
      <w:rPr>
        <w:rFonts w:hint="default"/>
        <w:lang w:val="en-US" w:eastAsia="en-US" w:bidi="en-US"/>
      </w:rPr>
    </w:lvl>
  </w:abstractNum>
  <w:abstractNum w:abstractNumId="4" w15:restartNumberingAfterBreak="0">
    <w:nsid w:val="383A540B"/>
    <w:multiLevelType w:val="hybridMultilevel"/>
    <w:tmpl w:val="CCC0760A"/>
    <w:lvl w:ilvl="0" w:tplc="E46EFEBA">
      <w:start w:val="1"/>
      <w:numFmt w:val="decimal"/>
      <w:lvlText w:val="%1)"/>
      <w:lvlJc w:val="left"/>
      <w:pPr>
        <w:ind w:left="1560" w:hanging="360"/>
      </w:pPr>
      <w:rPr>
        <w:rFonts w:ascii="Arial" w:eastAsia="Arial" w:hAnsi="Arial" w:cs="Arial" w:hint="default"/>
        <w:spacing w:val="-1"/>
        <w:w w:val="99"/>
        <w:sz w:val="20"/>
        <w:szCs w:val="20"/>
        <w:lang w:val="en-US" w:eastAsia="en-US" w:bidi="en-US"/>
      </w:rPr>
    </w:lvl>
    <w:lvl w:ilvl="1" w:tplc="D5DCDB20">
      <w:numFmt w:val="bullet"/>
      <w:lvlText w:val="•"/>
      <w:lvlJc w:val="left"/>
      <w:pPr>
        <w:ind w:left="2364" w:hanging="360"/>
      </w:pPr>
      <w:rPr>
        <w:rFonts w:hint="default"/>
        <w:lang w:val="en-US" w:eastAsia="en-US" w:bidi="en-US"/>
      </w:rPr>
    </w:lvl>
    <w:lvl w:ilvl="2" w:tplc="F716CE16">
      <w:numFmt w:val="bullet"/>
      <w:lvlText w:val="•"/>
      <w:lvlJc w:val="left"/>
      <w:pPr>
        <w:ind w:left="3168" w:hanging="360"/>
      </w:pPr>
      <w:rPr>
        <w:rFonts w:hint="default"/>
        <w:lang w:val="en-US" w:eastAsia="en-US" w:bidi="en-US"/>
      </w:rPr>
    </w:lvl>
    <w:lvl w:ilvl="3" w:tplc="C07CD938">
      <w:numFmt w:val="bullet"/>
      <w:lvlText w:val="•"/>
      <w:lvlJc w:val="left"/>
      <w:pPr>
        <w:ind w:left="3972" w:hanging="360"/>
      </w:pPr>
      <w:rPr>
        <w:rFonts w:hint="default"/>
        <w:lang w:val="en-US" w:eastAsia="en-US" w:bidi="en-US"/>
      </w:rPr>
    </w:lvl>
    <w:lvl w:ilvl="4" w:tplc="C4603CAE">
      <w:numFmt w:val="bullet"/>
      <w:lvlText w:val="•"/>
      <w:lvlJc w:val="left"/>
      <w:pPr>
        <w:ind w:left="4776" w:hanging="360"/>
      </w:pPr>
      <w:rPr>
        <w:rFonts w:hint="default"/>
        <w:lang w:val="en-US" w:eastAsia="en-US" w:bidi="en-US"/>
      </w:rPr>
    </w:lvl>
    <w:lvl w:ilvl="5" w:tplc="3FE80D3A">
      <w:numFmt w:val="bullet"/>
      <w:lvlText w:val="•"/>
      <w:lvlJc w:val="left"/>
      <w:pPr>
        <w:ind w:left="5580" w:hanging="360"/>
      </w:pPr>
      <w:rPr>
        <w:rFonts w:hint="default"/>
        <w:lang w:val="en-US" w:eastAsia="en-US" w:bidi="en-US"/>
      </w:rPr>
    </w:lvl>
    <w:lvl w:ilvl="6" w:tplc="B60A2A16">
      <w:numFmt w:val="bullet"/>
      <w:lvlText w:val="•"/>
      <w:lvlJc w:val="left"/>
      <w:pPr>
        <w:ind w:left="6384" w:hanging="360"/>
      </w:pPr>
      <w:rPr>
        <w:rFonts w:hint="default"/>
        <w:lang w:val="en-US" w:eastAsia="en-US" w:bidi="en-US"/>
      </w:rPr>
    </w:lvl>
    <w:lvl w:ilvl="7" w:tplc="D6121C2E">
      <w:numFmt w:val="bullet"/>
      <w:lvlText w:val="•"/>
      <w:lvlJc w:val="left"/>
      <w:pPr>
        <w:ind w:left="7188" w:hanging="360"/>
      </w:pPr>
      <w:rPr>
        <w:rFonts w:hint="default"/>
        <w:lang w:val="en-US" w:eastAsia="en-US" w:bidi="en-US"/>
      </w:rPr>
    </w:lvl>
    <w:lvl w:ilvl="8" w:tplc="865E4D66">
      <w:numFmt w:val="bullet"/>
      <w:lvlText w:val="•"/>
      <w:lvlJc w:val="left"/>
      <w:pPr>
        <w:ind w:left="7992" w:hanging="360"/>
      </w:pPr>
      <w:rPr>
        <w:rFonts w:hint="default"/>
        <w:lang w:val="en-US" w:eastAsia="en-US" w:bidi="en-US"/>
      </w:rPr>
    </w:lvl>
  </w:abstractNum>
  <w:abstractNum w:abstractNumId="5" w15:restartNumberingAfterBreak="0">
    <w:nsid w:val="4A8E77FC"/>
    <w:multiLevelType w:val="hybridMultilevel"/>
    <w:tmpl w:val="B622DC5E"/>
    <w:lvl w:ilvl="0" w:tplc="87FA261E">
      <w:start w:val="1"/>
      <w:numFmt w:val="decimal"/>
      <w:lvlText w:val="%1."/>
      <w:lvlJc w:val="left"/>
      <w:pPr>
        <w:ind w:left="120" w:hanging="276"/>
      </w:pPr>
      <w:rPr>
        <w:rFonts w:ascii="Arial" w:eastAsia="Arial" w:hAnsi="Arial" w:cs="Arial" w:hint="default"/>
        <w:spacing w:val="-1"/>
        <w:w w:val="99"/>
        <w:sz w:val="20"/>
        <w:szCs w:val="20"/>
        <w:lang w:val="en-US" w:eastAsia="en-US" w:bidi="en-US"/>
      </w:rPr>
    </w:lvl>
    <w:lvl w:ilvl="1" w:tplc="A79CBE74">
      <w:numFmt w:val="bullet"/>
      <w:lvlText w:val="•"/>
      <w:lvlJc w:val="left"/>
      <w:pPr>
        <w:ind w:left="1068" w:hanging="276"/>
      </w:pPr>
      <w:rPr>
        <w:rFonts w:hint="default"/>
        <w:lang w:val="en-US" w:eastAsia="en-US" w:bidi="en-US"/>
      </w:rPr>
    </w:lvl>
    <w:lvl w:ilvl="2" w:tplc="0B1A5472">
      <w:numFmt w:val="bullet"/>
      <w:lvlText w:val="•"/>
      <w:lvlJc w:val="left"/>
      <w:pPr>
        <w:ind w:left="2016" w:hanging="276"/>
      </w:pPr>
      <w:rPr>
        <w:rFonts w:hint="default"/>
        <w:lang w:val="en-US" w:eastAsia="en-US" w:bidi="en-US"/>
      </w:rPr>
    </w:lvl>
    <w:lvl w:ilvl="3" w:tplc="02A84C04">
      <w:numFmt w:val="bullet"/>
      <w:lvlText w:val="•"/>
      <w:lvlJc w:val="left"/>
      <w:pPr>
        <w:ind w:left="2964" w:hanging="276"/>
      </w:pPr>
      <w:rPr>
        <w:rFonts w:hint="default"/>
        <w:lang w:val="en-US" w:eastAsia="en-US" w:bidi="en-US"/>
      </w:rPr>
    </w:lvl>
    <w:lvl w:ilvl="4" w:tplc="83F0F392">
      <w:numFmt w:val="bullet"/>
      <w:lvlText w:val="•"/>
      <w:lvlJc w:val="left"/>
      <w:pPr>
        <w:ind w:left="3912" w:hanging="276"/>
      </w:pPr>
      <w:rPr>
        <w:rFonts w:hint="default"/>
        <w:lang w:val="en-US" w:eastAsia="en-US" w:bidi="en-US"/>
      </w:rPr>
    </w:lvl>
    <w:lvl w:ilvl="5" w:tplc="DBC6DA8E">
      <w:numFmt w:val="bullet"/>
      <w:lvlText w:val="•"/>
      <w:lvlJc w:val="left"/>
      <w:pPr>
        <w:ind w:left="4860" w:hanging="276"/>
      </w:pPr>
      <w:rPr>
        <w:rFonts w:hint="default"/>
        <w:lang w:val="en-US" w:eastAsia="en-US" w:bidi="en-US"/>
      </w:rPr>
    </w:lvl>
    <w:lvl w:ilvl="6" w:tplc="2D08FD6E">
      <w:numFmt w:val="bullet"/>
      <w:lvlText w:val="•"/>
      <w:lvlJc w:val="left"/>
      <w:pPr>
        <w:ind w:left="5808" w:hanging="276"/>
      </w:pPr>
      <w:rPr>
        <w:rFonts w:hint="default"/>
        <w:lang w:val="en-US" w:eastAsia="en-US" w:bidi="en-US"/>
      </w:rPr>
    </w:lvl>
    <w:lvl w:ilvl="7" w:tplc="2D66F6E0">
      <w:numFmt w:val="bullet"/>
      <w:lvlText w:val="•"/>
      <w:lvlJc w:val="left"/>
      <w:pPr>
        <w:ind w:left="6756" w:hanging="276"/>
      </w:pPr>
      <w:rPr>
        <w:rFonts w:hint="default"/>
        <w:lang w:val="en-US" w:eastAsia="en-US" w:bidi="en-US"/>
      </w:rPr>
    </w:lvl>
    <w:lvl w:ilvl="8" w:tplc="B97673BE">
      <w:numFmt w:val="bullet"/>
      <w:lvlText w:val="•"/>
      <w:lvlJc w:val="left"/>
      <w:pPr>
        <w:ind w:left="7704" w:hanging="276"/>
      </w:pPr>
      <w:rPr>
        <w:rFonts w:hint="default"/>
        <w:lang w:val="en-US" w:eastAsia="en-US" w:bidi="en-US"/>
      </w:rPr>
    </w:lvl>
  </w:abstractNum>
  <w:abstractNum w:abstractNumId="6" w15:restartNumberingAfterBreak="0">
    <w:nsid w:val="549C21F7"/>
    <w:multiLevelType w:val="hybridMultilevel"/>
    <w:tmpl w:val="6CCE749E"/>
    <w:lvl w:ilvl="0" w:tplc="730E853E">
      <w:start w:val="1"/>
      <w:numFmt w:val="decimal"/>
      <w:lvlText w:val="%1."/>
      <w:lvlJc w:val="left"/>
      <w:pPr>
        <w:ind w:left="396" w:hanging="276"/>
      </w:pPr>
      <w:rPr>
        <w:rFonts w:ascii="Arial" w:eastAsia="Arial" w:hAnsi="Arial" w:cs="Arial" w:hint="default"/>
        <w:spacing w:val="-1"/>
        <w:w w:val="99"/>
        <w:sz w:val="20"/>
        <w:szCs w:val="20"/>
        <w:lang w:val="en-US" w:eastAsia="en-US" w:bidi="en-US"/>
      </w:rPr>
    </w:lvl>
    <w:lvl w:ilvl="1" w:tplc="383251D8">
      <w:numFmt w:val="bullet"/>
      <w:lvlText w:val="•"/>
      <w:lvlJc w:val="left"/>
      <w:pPr>
        <w:ind w:left="1320" w:hanging="276"/>
      </w:pPr>
      <w:rPr>
        <w:rFonts w:hint="default"/>
        <w:lang w:val="en-US" w:eastAsia="en-US" w:bidi="en-US"/>
      </w:rPr>
    </w:lvl>
    <w:lvl w:ilvl="2" w:tplc="5E045126">
      <w:numFmt w:val="bullet"/>
      <w:lvlText w:val="•"/>
      <w:lvlJc w:val="left"/>
      <w:pPr>
        <w:ind w:left="2240" w:hanging="276"/>
      </w:pPr>
      <w:rPr>
        <w:rFonts w:hint="default"/>
        <w:lang w:val="en-US" w:eastAsia="en-US" w:bidi="en-US"/>
      </w:rPr>
    </w:lvl>
    <w:lvl w:ilvl="3" w:tplc="6FBE2D78">
      <w:numFmt w:val="bullet"/>
      <w:lvlText w:val="•"/>
      <w:lvlJc w:val="left"/>
      <w:pPr>
        <w:ind w:left="3160" w:hanging="276"/>
      </w:pPr>
      <w:rPr>
        <w:rFonts w:hint="default"/>
        <w:lang w:val="en-US" w:eastAsia="en-US" w:bidi="en-US"/>
      </w:rPr>
    </w:lvl>
    <w:lvl w:ilvl="4" w:tplc="DE9A7876">
      <w:numFmt w:val="bullet"/>
      <w:lvlText w:val="•"/>
      <w:lvlJc w:val="left"/>
      <w:pPr>
        <w:ind w:left="4080" w:hanging="276"/>
      </w:pPr>
      <w:rPr>
        <w:rFonts w:hint="default"/>
        <w:lang w:val="en-US" w:eastAsia="en-US" w:bidi="en-US"/>
      </w:rPr>
    </w:lvl>
    <w:lvl w:ilvl="5" w:tplc="E4DEB23E">
      <w:numFmt w:val="bullet"/>
      <w:lvlText w:val="•"/>
      <w:lvlJc w:val="left"/>
      <w:pPr>
        <w:ind w:left="5000" w:hanging="276"/>
      </w:pPr>
      <w:rPr>
        <w:rFonts w:hint="default"/>
        <w:lang w:val="en-US" w:eastAsia="en-US" w:bidi="en-US"/>
      </w:rPr>
    </w:lvl>
    <w:lvl w:ilvl="6" w:tplc="6CD46CB8">
      <w:numFmt w:val="bullet"/>
      <w:lvlText w:val="•"/>
      <w:lvlJc w:val="left"/>
      <w:pPr>
        <w:ind w:left="5920" w:hanging="276"/>
      </w:pPr>
      <w:rPr>
        <w:rFonts w:hint="default"/>
        <w:lang w:val="en-US" w:eastAsia="en-US" w:bidi="en-US"/>
      </w:rPr>
    </w:lvl>
    <w:lvl w:ilvl="7" w:tplc="6A6ADFC0">
      <w:numFmt w:val="bullet"/>
      <w:lvlText w:val="•"/>
      <w:lvlJc w:val="left"/>
      <w:pPr>
        <w:ind w:left="6840" w:hanging="276"/>
      </w:pPr>
      <w:rPr>
        <w:rFonts w:hint="default"/>
        <w:lang w:val="en-US" w:eastAsia="en-US" w:bidi="en-US"/>
      </w:rPr>
    </w:lvl>
    <w:lvl w:ilvl="8" w:tplc="78142998">
      <w:numFmt w:val="bullet"/>
      <w:lvlText w:val="•"/>
      <w:lvlJc w:val="left"/>
      <w:pPr>
        <w:ind w:left="7760" w:hanging="276"/>
      </w:pPr>
      <w:rPr>
        <w:rFonts w:hint="default"/>
        <w:lang w:val="en-US" w:eastAsia="en-US" w:bidi="en-US"/>
      </w:rPr>
    </w:lvl>
  </w:abstractNum>
  <w:abstractNum w:abstractNumId="7" w15:restartNumberingAfterBreak="0">
    <w:nsid w:val="5E2E63EC"/>
    <w:multiLevelType w:val="hybridMultilevel"/>
    <w:tmpl w:val="654EC4C4"/>
    <w:lvl w:ilvl="0" w:tplc="33326214">
      <w:start w:val="1"/>
      <w:numFmt w:val="decimal"/>
      <w:lvlText w:val="%1."/>
      <w:lvlJc w:val="left"/>
      <w:pPr>
        <w:ind w:left="120" w:hanging="221"/>
      </w:pPr>
      <w:rPr>
        <w:rFonts w:hint="default"/>
        <w:spacing w:val="-1"/>
        <w:w w:val="99"/>
        <w:u w:val="single" w:color="000000"/>
        <w:lang w:val="en-US" w:eastAsia="en-US" w:bidi="en-US"/>
      </w:rPr>
    </w:lvl>
    <w:lvl w:ilvl="1" w:tplc="06EC0474">
      <w:start w:val="1"/>
      <w:numFmt w:val="decimal"/>
      <w:lvlText w:val="%2."/>
      <w:lvlJc w:val="left"/>
      <w:pPr>
        <w:ind w:left="1060" w:hanging="221"/>
      </w:pPr>
      <w:rPr>
        <w:rFonts w:hint="default"/>
        <w:spacing w:val="-1"/>
        <w:w w:val="99"/>
        <w:u w:val="single" w:color="000000"/>
        <w:lang w:val="en-US" w:eastAsia="en-US" w:bidi="en-US"/>
      </w:rPr>
    </w:lvl>
    <w:lvl w:ilvl="2" w:tplc="2DBCD234">
      <w:numFmt w:val="bullet"/>
      <w:lvlText w:val="•"/>
      <w:lvlJc w:val="left"/>
      <w:pPr>
        <w:ind w:left="2008" w:hanging="221"/>
      </w:pPr>
      <w:rPr>
        <w:rFonts w:hint="default"/>
        <w:lang w:val="en-US" w:eastAsia="en-US" w:bidi="en-US"/>
      </w:rPr>
    </w:lvl>
    <w:lvl w:ilvl="3" w:tplc="B5143A54">
      <w:numFmt w:val="bullet"/>
      <w:lvlText w:val="•"/>
      <w:lvlJc w:val="left"/>
      <w:pPr>
        <w:ind w:left="2957" w:hanging="221"/>
      </w:pPr>
      <w:rPr>
        <w:rFonts w:hint="default"/>
        <w:lang w:val="en-US" w:eastAsia="en-US" w:bidi="en-US"/>
      </w:rPr>
    </w:lvl>
    <w:lvl w:ilvl="4" w:tplc="1B8054F8">
      <w:numFmt w:val="bullet"/>
      <w:lvlText w:val="•"/>
      <w:lvlJc w:val="left"/>
      <w:pPr>
        <w:ind w:left="3906" w:hanging="221"/>
      </w:pPr>
      <w:rPr>
        <w:rFonts w:hint="default"/>
        <w:lang w:val="en-US" w:eastAsia="en-US" w:bidi="en-US"/>
      </w:rPr>
    </w:lvl>
    <w:lvl w:ilvl="5" w:tplc="2B98CE9E">
      <w:numFmt w:val="bullet"/>
      <w:lvlText w:val="•"/>
      <w:lvlJc w:val="left"/>
      <w:pPr>
        <w:ind w:left="4855" w:hanging="221"/>
      </w:pPr>
      <w:rPr>
        <w:rFonts w:hint="default"/>
        <w:lang w:val="en-US" w:eastAsia="en-US" w:bidi="en-US"/>
      </w:rPr>
    </w:lvl>
    <w:lvl w:ilvl="6" w:tplc="0EAA0828">
      <w:numFmt w:val="bullet"/>
      <w:lvlText w:val="•"/>
      <w:lvlJc w:val="left"/>
      <w:pPr>
        <w:ind w:left="5804" w:hanging="221"/>
      </w:pPr>
      <w:rPr>
        <w:rFonts w:hint="default"/>
        <w:lang w:val="en-US" w:eastAsia="en-US" w:bidi="en-US"/>
      </w:rPr>
    </w:lvl>
    <w:lvl w:ilvl="7" w:tplc="33607A7E">
      <w:numFmt w:val="bullet"/>
      <w:lvlText w:val="•"/>
      <w:lvlJc w:val="left"/>
      <w:pPr>
        <w:ind w:left="6753" w:hanging="221"/>
      </w:pPr>
      <w:rPr>
        <w:rFonts w:hint="default"/>
        <w:lang w:val="en-US" w:eastAsia="en-US" w:bidi="en-US"/>
      </w:rPr>
    </w:lvl>
    <w:lvl w:ilvl="8" w:tplc="C64243C0">
      <w:numFmt w:val="bullet"/>
      <w:lvlText w:val="•"/>
      <w:lvlJc w:val="left"/>
      <w:pPr>
        <w:ind w:left="7702" w:hanging="221"/>
      </w:pPr>
      <w:rPr>
        <w:rFonts w:hint="default"/>
        <w:lang w:val="en-US" w:eastAsia="en-US" w:bidi="en-US"/>
      </w:rPr>
    </w:lvl>
  </w:abstractNum>
  <w:abstractNum w:abstractNumId="8" w15:restartNumberingAfterBreak="0">
    <w:nsid w:val="72951E32"/>
    <w:multiLevelType w:val="hybridMultilevel"/>
    <w:tmpl w:val="4420E85A"/>
    <w:lvl w:ilvl="0" w:tplc="8A3C80F8">
      <w:start w:val="1"/>
      <w:numFmt w:val="decimal"/>
      <w:lvlText w:val="%1."/>
      <w:lvlJc w:val="left"/>
      <w:pPr>
        <w:ind w:left="396" w:hanging="276"/>
      </w:pPr>
      <w:rPr>
        <w:rFonts w:ascii="Arial" w:eastAsia="Arial" w:hAnsi="Arial" w:cs="Arial" w:hint="default"/>
        <w:spacing w:val="-1"/>
        <w:w w:val="99"/>
        <w:sz w:val="20"/>
        <w:szCs w:val="20"/>
        <w:lang w:val="en-US" w:eastAsia="en-US" w:bidi="en-US"/>
      </w:rPr>
    </w:lvl>
    <w:lvl w:ilvl="1" w:tplc="36221426">
      <w:numFmt w:val="bullet"/>
      <w:lvlText w:val="•"/>
      <w:lvlJc w:val="left"/>
      <w:pPr>
        <w:ind w:left="1320" w:hanging="276"/>
      </w:pPr>
      <w:rPr>
        <w:rFonts w:hint="default"/>
        <w:lang w:val="en-US" w:eastAsia="en-US" w:bidi="en-US"/>
      </w:rPr>
    </w:lvl>
    <w:lvl w:ilvl="2" w:tplc="5D7E17BE">
      <w:numFmt w:val="bullet"/>
      <w:lvlText w:val="•"/>
      <w:lvlJc w:val="left"/>
      <w:pPr>
        <w:ind w:left="2240" w:hanging="276"/>
      </w:pPr>
      <w:rPr>
        <w:rFonts w:hint="default"/>
        <w:lang w:val="en-US" w:eastAsia="en-US" w:bidi="en-US"/>
      </w:rPr>
    </w:lvl>
    <w:lvl w:ilvl="3" w:tplc="12AA60A6">
      <w:numFmt w:val="bullet"/>
      <w:lvlText w:val="•"/>
      <w:lvlJc w:val="left"/>
      <w:pPr>
        <w:ind w:left="3160" w:hanging="276"/>
      </w:pPr>
      <w:rPr>
        <w:rFonts w:hint="default"/>
        <w:lang w:val="en-US" w:eastAsia="en-US" w:bidi="en-US"/>
      </w:rPr>
    </w:lvl>
    <w:lvl w:ilvl="4" w:tplc="249E1E5C">
      <w:numFmt w:val="bullet"/>
      <w:lvlText w:val="•"/>
      <w:lvlJc w:val="left"/>
      <w:pPr>
        <w:ind w:left="4080" w:hanging="276"/>
      </w:pPr>
      <w:rPr>
        <w:rFonts w:hint="default"/>
        <w:lang w:val="en-US" w:eastAsia="en-US" w:bidi="en-US"/>
      </w:rPr>
    </w:lvl>
    <w:lvl w:ilvl="5" w:tplc="13A881B2">
      <w:numFmt w:val="bullet"/>
      <w:lvlText w:val="•"/>
      <w:lvlJc w:val="left"/>
      <w:pPr>
        <w:ind w:left="5000" w:hanging="276"/>
      </w:pPr>
      <w:rPr>
        <w:rFonts w:hint="default"/>
        <w:lang w:val="en-US" w:eastAsia="en-US" w:bidi="en-US"/>
      </w:rPr>
    </w:lvl>
    <w:lvl w:ilvl="6" w:tplc="1E8E732A">
      <w:numFmt w:val="bullet"/>
      <w:lvlText w:val="•"/>
      <w:lvlJc w:val="left"/>
      <w:pPr>
        <w:ind w:left="5920" w:hanging="276"/>
      </w:pPr>
      <w:rPr>
        <w:rFonts w:hint="default"/>
        <w:lang w:val="en-US" w:eastAsia="en-US" w:bidi="en-US"/>
      </w:rPr>
    </w:lvl>
    <w:lvl w:ilvl="7" w:tplc="B2E0AC8A">
      <w:numFmt w:val="bullet"/>
      <w:lvlText w:val="•"/>
      <w:lvlJc w:val="left"/>
      <w:pPr>
        <w:ind w:left="6840" w:hanging="276"/>
      </w:pPr>
      <w:rPr>
        <w:rFonts w:hint="default"/>
        <w:lang w:val="en-US" w:eastAsia="en-US" w:bidi="en-US"/>
      </w:rPr>
    </w:lvl>
    <w:lvl w:ilvl="8" w:tplc="CEA05AFE">
      <w:numFmt w:val="bullet"/>
      <w:lvlText w:val="•"/>
      <w:lvlJc w:val="left"/>
      <w:pPr>
        <w:ind w:left="7760" w:hanging="276"/>
      </w:pPr>
      <w:rPr>
        <w:rFonts w:hint="default"/>
        <w:lang w:val="en-US" w:eastAsia="en-US" w:bidi="en-US"/>
      </w:rPr>
    </w:lvl>
  </w:abstractNum>
  <w:num w:numId="1">
    <w:abstractNumId w:val="8"/>
  </w:num>
  <w:num w:numId="2">
    <w:abstractNumId w:val="2"/>
  </w:num>
  <w:num w:numId="3">
    <w:abstractNumId w:val="5"/>
  </w:num>
  <w:num w:numId="4">
    <w:abstractNumId w:val="7"/>
  </w:num>
  <w:num w:numId="5">
    <w:abstractNumId w:val="6"/>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45"/>
    <w:rsid w:val="001A3587"/>
    <w:rsid w:val="003C62C5"/>
    <w:rsid w:val="004A7BB9"/>
    <w:rsid w:val="004E198F"/>
    <w:rsid w:val="004E24FA"/>
    <w:rsid w:val="00615394"/>
    <w:rsid w:val="009749D5"/>
    <w:rsid w:val="009A0DFE"/>
    <w:rsid w:val="00A13C45"/>
    <w:rsid w:val="00A26171"/>
    <w:rsid w:val="00C07A03"/>
    <w:rsid w:val="00D1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693B14"/>
  <w15:docId w15:val="{F60D1CE5-54D2-4169-81B8-CC661D84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rsid w:val="001A3587"/>
    <w:pPr>
      <w:spacing w:before="151"/>
      <w:ind w:left="120" w:right="1106"/>
      <w:jc w:val="center"/>
      <w:outlineLvl w:val="0"/>
    </w:pPr>
    <w:rPr>
      <w:rFonts w:ascii="Calibri" w:eastAsia="Calibri" w:hAnsi="Calibri" w:cs="Calibri"/>
      <w:b/>
      <w:sz w:val="24"/>
      <w:u w:color="000000"/>
    </w:rPr>
  </w:style>
  <w:style w:type="paragraph" w:styleId="Heading2">
    <w:name w:val="heading 2"/>
    <w:basedOn w:val="Normal"/>
    <w:uiPriority w:val="1"/>
    <w:qFormat/>
    <w:rsid w:val="001A3587"/>
    <w:pPr>
      <w:spacing w:before="92"/>
      <w:ind w:left="119"/>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3"/>
      <w:ind w:left="120"/>
    </w:pPr>
  </w:style>
  <w:style w:type="paragraph" w:customStyle="1" w:styleId="TableParagraph">
    <w:name w:val="Table Paragraph"/>
    <w:basedOn w:val="Normal"/>
    <w:uiPriority w:val="1"/>
    <w:qFormat/>
    <w:pPr>
      <w:spacing w:before="31"/>
      <w:ind w:left="11"/>
      <w:jc w:val="center"/>
    </w:pPr>
    <w:rPr>
      <w:u w:val="single" w:color="000000"/>
    </w:rPr>
  </w:style>
  <w:style w:type="table" w:styleId="TableGrid">
    <w:name w:val="Table Grid"/>
    <w:basedOn w:val="TableNormal"/>
    <w:uiPriority w:val="39"/>
    <w:rsid w:val="004E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394"/>
    <w:pPr>
      <w:tabs>
        <w:tab w:val="center" w:pos="4680"/>
        <w:tab w:val="right" w:pos="9360"/>
      </w:tabs>
    </w:pPr>
  </w:style>
  <w:style w:type="character" w:customStyle="1" w:styleId="HeaderChar">
    <w:name w:val="Header Char"/>
    <w:basedOn w:val="DefaultParagraphFont"/>
    <w:link w:val="Header"/>
    <w:uiPriority w:val="99"/>
    <w:rsid w:val="00615394"/>
    <w:rPr>
      <w:rFonts w:ascii="Arial" w:eastAsia="Arial" w:hAnsi="Arial" w:cs="Arial"/>
      <w:lang w:bidi="en-US"/>
    </w:rPr>
  </w:style>
  <w:style w:type="paragraph" w:styleId="Footer">
    <w:name w:val="footer"/>
    <w:basedOn w:val="Normal"/>
    <w:link w:val="FooterChar"/>
    <w:uiPriority w:val="99"/>
    <w:unhideWhenUsed/>
    <w:rsid w:val="00615394"/>
    <w:pPr>
      <w:tabs>
        <w:tab w:val="center" w:pos="4680"/>
        <w:tab w:val="right" w:pos="9360"/>
      </w:tabs>
    </w:pPr>
  </w:style>
  <w:style w:type="character" w:customStyle="1" w:styleId="FooterChar">
    <w:name w:val="Footer Char"/>
    <w:basedOn w:val="DefaultParagraphFont"/>
    <w:link w:val="Footer"/>
    <w:uiPriority w:val="99"/>
    <w:rsid w:val="0061539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rgy.ca.gov/title24/2019standards/" TargetMode="External"/><Relationship Id="rId12" Type="http://schemas.openxmlformats.org/officeDocument/2006/relationships/hyperlink" Target="Energy%20Commission%20http:/www.energy.ca.gov/title24/2019standards/" TargetMode="Externa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Strait, Peter@Energy</dc:creator>
  <cp:lastModifiedBy>Flanagan, Klara@DGS</cp:lastModifiedBy>
  <cp:revision>8</cp:revision>
  <dcterms:created xsi:type="dcterms:W3CDTF">2019-10-03T20:38:00Z</dcterms:created>
  <dcterms:modified xsi:type="dcterms:W3CDTF">2019-10-03T21:18:00Z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Acrobat PDFMaker 15 for Word</vt:lpwstr>
  </property>
  <property fmtid="{D5CDD505-2E9C-101B-9397-08002B2CF9AE}" pid="4" name="LastSaved">
    <vt:filetime>2019-10-03T00:00:00Z</vt:filetime>
  </property>
</Properties>
</file>