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C30FB8" w14:textId="7CDE9B58" w:rsidR="00F6226F" w:rsidRDefault="004B6376">
      <w:r w:rsidRPr="003411E2">
        <w:rPr>
          <w:rFonts w:ascii="Arial" w:hAnsi="Arial" w:cs="Arial"/>
          <w:color w:val="000000"/>
          <w:sz w:val="24"/>
          <w:szCs w:val="24"/>
        </w:rPr>
        <w:t xml:space="preserve">Revisions to SAM sections are provided to the right of the summary table below. Click the link to the right of the section line item in the table to view the “tracked changes” version of the revision.  Click the hyperlinked chapter text in column 1 to view the published revision.  </w:t>
      </w:r>
    </w:p>
    <w:p w14:paraId="0C3EC47D" w14:textId="77777777" w:rsidR="004B6376" w:rsidRDefault="004B6376"/>
    <w:p w14:paraId="5F049D31" w14:textId="77777777" w:rsidR="004B6376" w:rsidRDefault="004B6376"/>
    <w:tbl>
      <w:tblPr>
        <w:tblW w:w="9270" w:type="dxa"/>
        <w:tblInd w:w="-95" w:type="dxa"/>
        <w:tblLayout w:type="fixed"/>
        <w:tblLook w:val="0020" w:firstRow="1" w:lastRow="0" w:firstColumn="0" w:lastColumn="0" w:noHBand="0" w:noVBand="0"/>
      </w:tblPr>
      <w:tblGrid>
        <w:gridCol w:w="2250"/>
        <w:gridCol w:w="5760"/>
        <w:gridCol w:w="1260"/>
      </w:tblGrid>
      <w:tr w:rsidR="004B6376" w:rsidRPr="007C5562" w14:paraId="17339845" w14:textId="77777777" w:rsidTr="00914DAB">
        <w:trPr>
          <w:tblHeader/>
        </w:trPr>
        <w:tc>
          <w:tcPr>
            <w:tcW w:w="2250" w:type="dxa"/>
            <w:tcBorders>
              <w:top w:val="single" w:sz="4" w:space="0" w:color="auto"/>
              <w:left w:val="single" w:sz="4" w:space="0" w:color="auto"/>
              <w:bottom w:val="single" w:sz="4" w:space="0" w:color="auto"/>
              <w:right w:val="single" w:sz="4" w:space="0" w:color="auto"/>
            </w:tcBorders>
            <w:shd w:val="clear" w:color="auto" w:fill="D9D9D9"/>
          </w:tcPr>
          <w:p w14:paraId="4F0F39F7" w14:textId="77777777" w:rsidR="004B6376" w:rsidRPr="003411E2" w:rsidRDefault="004B6376" w:rsidP="00807985">
            <w:pPr>
              <w:spacing w:after="0" w:line="240" w:lineRule="auto"/>
              <w:jc w:val="center"/>
              <w:rPr>
                <w:rFonts w:ascii="Arial" w:hAnsi="Arial" w:cs="Arial"/>
                <w:b/>
                <w:sz w:val="24"/>
                <w:szCs w:val="24"/>
              </w:rPr>
            </w:pPr>
            <w:r w:rsidRPr="003411E2">
              <w:rPr>
                <w:rFonts w:ascii="Arial" w:hAnsi="Arial" w:cs="Arial"/>
                <w:b/>
                <w:sz w:val="24"/>
                <w:szCs w:val="24"/>
              </w:rPr>
              <w:t>CHAPTER/</w:t>
            </w:r>
          </w:p>
          <w:p w14:paraId="162F986B" w14:textId="77777777" w:rsidR="004B6376" w:rsidRPr="003411E2" w:rsidRDefault="004B6376" w:rsidP="00807985">
            <w:pPr>
              <w:spacing w:after="0" w:line="240" w:lineRule="auto"/>
              <w:jc w:val="center"/>
              <w:rPr>
                <w:rFonts w:ascii="Arial" w:hAnsi="Arial" w:cs="Arial"/>
                <w:b/>
                <w:sz w:val="24"/>
                <w:szCs w:val="24"/>
              </w:rPr>
            </w:pPr>
            <w:r w:rsidRPr="003411E2">
              <w:rPr>
                <w:rFonts w:ascii="Arial" w:hAnsi="Arial" w:cs="Arial"/>
                <w:b/>
                <w:sz w:val="24"/>
                <w:szCs w:val="24"/>
              </w:rPr>
              <w:t xml:space="preserve">SECTIONS </w:t>
            </w:r>
          </w:p>
        </w:tc>
        <w:tc>
          <w:tcPr>
            <w:tcW w:w="5760" w:type="dxa"/>
            <w:tcBorders>
              <w:top w:val="single" w:sz="4" w:space="0" w:color="auto"/>
              <w:left w:val="single" w:sz="4" w:space="0" w:color="auto"/>
              <w:bottom w:val="single" w:sz="4" w:space="0" w:color="auto"/>
              <w:right w:val="single" w:sz="4" w:space="0" w:color="auto"/>
            </w:tcBorders>
            <w:shd w:val="clear" w:color="auto" w:fill="D9D9D9"/>
          </w:tcPr>
          <w:p w14:paraId="3AF6F2A0" w14:textId="77777777" w:rsidR="004B6376" w:rsidRPr="003411E2" w:rsidRDefault="004B6376" w:rsidP="00807985">
            <w:pPr>
              <w:spacing w:before="120"/>
              <w:jc w:val="center"/>
              <w:rPr>
                <w:rFonts w:ascii="Arial" w:hAnsi="Arial" w:cs="Arial"/>
                <w:sz w:val="24"/>
                <w:szCs w:val="24"/>
              </w:rPr>
            </w:pPr>
            <w:r w:rsidRPr="003411E2">
              <w:rPr>
                <w:rFonts w:ascii="Arial" w:hAnsi="Arial" w:cs="Arial"/>
                <w:b/>
                <w:sz w:val="24"/>
                <w:szCs w:val="24"/>
              </w:rPr>
              <w:t>SUMMARY</w:t>
            </w:r>
          </w:p>
        </w:tc>
        <w:tc>
          <w:tcPr>
            <w:tcW w:w="1260" w:type="dxa"/>
            <w:tcBorders>
              <w:top w:val="single" w:sz="4" w:space="0" w:color="auto"/>
              <w:left w:val="single" w:sz="4" w:space="0" w:color="auto"/>
              <w:bottom w:val="single" w:sz="4" w:space="0" w:color="auto"/>
              <w:right w:val="single" w:sz="4" w:space="0" w:color="auto"/>
            </w:tcBorders>
            <w:shd w:val="clear" w:color="auto" w:fill="D9D9D9"/>
          </w:tcPr>
          <w:p w14:paraId="2EC6AEFB" w14:textId="77777777" w:rsidR="004B6376" w:rsidRPr="003411E2" w:rsidRDefault="004B6376" w:rsidP="00807985">
            <w:pPr>
              <w:spacing w:before="120"/>
              <w:jc w:val="center"/>
              <w:rPr>
                <w:rFonts w:ascii="Arial" w:hAnsi="Arial" w:cs="Arial"/>
                <w:b/>
                <w:sz w:val="24"/>
                <w:szCs w:val="24"/>
              </w:rPr>
            </w:pPr>
            <w:r w:rsidRPr="003411E2">
              <w:rPr>
                <w:rFonts w:ascii="Arial" w:hAnsi="Arial" w:cs="Arial"/>
                <w:b/>
                <w:sz w:val="24"/>
                <w:szCs w:val="24"/>
              </w:rPr>
              <w:t>Link to Tracked Changes</w:t>
            </w:r>
          </w:p>
        </w:tc>
      </w:tr>
      <w:tr w:rsidR="00283498" w:rsidRPr="00605EB5" w14:paraId="79A4B3E0" w14:textId="77777777" w:rsidTr="00914DAB">
        <w:trPr>
          <w:cantSplit/>
        </w:trPr>
        <w:tc>
          <w:tcPr>
            <w:tcW w:w="2250" w:type="dxa"/>
            <w:tcBorders>
              <w:top w:val="single" w:sz="4" w:space="0" w:color="auto"/>
              <w:left w:val="single" w:sz="4" w:space="0" w:color="auto"/>
              <w:bottom w:val="single" w:sz="4" w:space="0" w:color="auto"/>
              <w:right w:val="single" w:sz="4" w:space="0" w:color="auto"/>
            </w:tcBorders>
          </w:tcPr>
          <w:p w14:paraId="158608D5" w14:textId="15874D4E" w:rsidR="00283498" w:rsidRPr="00283498" w:rsidRDefault="00283498" w:rsidP="00CF7987">
            <w:pPr>
              <w:spacing w:before="40"/>
              <w:rPr>
                <w:rFonts w:ascii="Arial" w:hAnsi="Arial" w:cs="Arial"/>
                <w:sz w:val="24"/>
                <w:szCs w:val="24"/>
              </w:rPr>
            </w:pPr>
            <w:hyperlink r:id="rId5" w:history="1">
              <w:r>
                <w:rPr>
                  <w:rStyle w:val="Hyperlink"/>
                  <w:rFonts w:ascii="Arial" w:hAnsi="Arial" w:cs="Arial"/>
                  <w:b/>
                  <w:bCs/>
                  <w:sz w:val="24"/>
                  <w:szCs w:val="24"/>
                </w:rPr>
                <w:t>Chapter 7000</w:t>
              </w:r>
            </w:hyperlink>
          </w:p>
        </w:tc>
        <w:tc>
          <w:tcPr>
            <w:tcW w:w="5760" w:type="dxa"/>
            <w:tcBorders>
              <w:top w:val="single" w:sz="4" w:space="0" w:color="auto"/>
              <w:left w:val="single" w:sz="4" w:space="0" w:color="auto"/>
              <w:bottom w:val="single" w:sz="4" w:space="0" w:color="auto"/>
              <w:right w:val="single" w:sz="4" w:space="0" w:color="auto"/>
            </w:tcBorders>
          </w:tcPr>
          <w:p w14:paraId="520D9743" w14:textId="77777777" w:rsidR="00283498" w:rsidRPr="00283498" w:rsidRDefault="00283498" w:rsidP="00CF7987">
            <w:pPr>
              <w:spacing w:before="40"/>
              <w:rPr>
                <w:rFonts w:ascii="Arial" w:hAnsi="Arial" w:cs="Arial"/>
                <w:b/>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6E70D4E8" w14:textId="77777777" w:rsidR="00283498" w:rsidRPr="00283498" w:rsidRDefault="00283498" w:rsidP="00CF7987">
            <w:pPr>
              <w:spacing w:before="40"/>
              <w:jc w:val="center"/>
              <w:rPr>
                <w:rFonts w:ascii="Arial" w:hAnsi="Arial" w:cs="Arial"/>
                <w:sz w:val="24"/>
                <w:szCs w:val="24"/>
              </w:rPr>
            </w:pPr>
          </w:p>
        </w:tc>
      </w:tr>
      <w:tr w:rsidR="00283498" w:rsidRPr="00605EB5" w14:paraId="5D2BAE77" w14:textId="77777777" w:rsidTr="00914DAB">
        <w:trPr>
          <w:cantSplit/>
        </w:trPr>
        <w:tc>
          <w:tcPr>
            <w:tcW w:w="2250" w:type="dxa"/>
            <w:tcBorders>
              <w:top w:val="single" w:sz="4" w:space="0" w:color="auto"/>
              <w:left w:val="single" w:sz="4" w:space="0" w:color="auto"/>
              <w:bottom w:val="single" w:sz="4" w:space="0" w:color="auto"/>
              <w:right w:val="single" w:sz="4" w:space="0" w:color="auto"/>
            </w:tcBorders>
          </w:tcPr>
          <w:p w14:paraId="7984EF59" w14:textId="41D14548" w:rsidR="00283498" w:rsidRPr="00283498" w:rsidRDefault="00283498" w:rsidP="00CF7987">
            <w:pPr>
              <w:spacing w:before="40"/>
              <w:rPr>
                <w:rFonts w:ascii="Arial" w:hAnsi="Arial" w:cs="Arial"/>
                <w:b/>
                <w:bCs/>
                <w:sz w:val="24"/>
                <w:szCs w:val="24"/>
              </w:rPr>
            </w:pPr>
            <w:r>
              <w:rPr>
                <w:rFonts w:ascii="Arial" w:hAnsi="Arial" w:cs="Arial"/>
                <w:sz w:val="24"/>
                <w:szCs w:val="24"/>
              </w:rPr>
              <w:t xml:space="preserve"> </w:t>
            </w:r>
            <w:r>
              <w:rPr>
                <w:rFonts w:ascii="Arial" w:hAnsi="Arial" w:cs="Arial"/>
                <w:b/>
                <w:bCs/>
                <w:sz w:val="24"/>
                <w:szCs w:val="24"/>
              </w:rPr>
              <w:t>Section 7050</w:t>
            </w:r>
          </w:p>
        </w:tc>
        <w:tc>
          <w:tcPr>
            <w:tcW w:w="5760" w:type="dxa"/>
            <w:tcBorders>
              <w:top w:val="single" w:sz="4" w:space="0" w:color="auto"/>
              <w:left w:val="single" w:sz="4" w:space="0" w:color="auto"/>
              <w:bottom w:val="single" w:sz="4" w:space="0" w:color="auto"/>
              <w:right w:val="single" w:sz="4" w:space="0" w:color="auto"/>
            </w:tcBorders>
          </w:tcPr>
          <w:p w14:paraId="7BDF10CE" w14:textId="66FCD0B1" w:rsidR="00283498" w:rsidRPr="00283498" w:rsidRDefault="00DE0647" w:rsidP="00CF7987">
            <w:pPr>
              <w:spacing w:before="40"/>
              <w:rPr>
                <w:rFonts w:ascii="Arial" w:hAnsi="Arial" w:cs="Arial"/>
                <w:b/>
                <w:sz w:val="24"/>
                <w:szCs w:val="24"/>
              </w:rPr>
            </w:pPr>
            <w:r>
              <w:rPr>
                <w:rFonts w:ascii="Arial" w:hAnsi="Arial" w:cs="Arial"/>
                <w:sz w:val="24"/>
                <w:szCs w:val="24"/>
              </w:rPr>
              <w:t>Retitled, revised, and renumbered from section 11100, Special Accounting Procedures to 7050, Use of Other Accounting Guidelines.</w:t>
            </w:r>
          </w:p>
        </w:tc>
        <w:tc>
          <w:tcPr>
            <w:tcW w:w="1260" w:type="dxa"/>
            <w:tcBorders>
              <w:top w:val="single" w:sz="4" w:space="0" w:color="auto"/>
              <w:left w:val="single" w:sz="4" w:space="0" w:color="auto"/>
              <w:bottom w:val="single" w:sz="4" w:space="0" w:color="auto"/>
              <w:right w:val="single" w:sz="4" w:space="0" w:color="auto"/>
            </w:tcBorders>
            <w:vAlign w:val="center"/>
          </w:tcPr>
          <w:p w14:paraId="3794A932" w14:textId="2FE62C4F" w:rsidR="00283498" w:rsidRPr="00283498" w:rsidRDefault="00FA3C86" w:rsidP="00CF7987">
            <w:pPr>
              <w:spacing w:before="40"/>
              <w:jc w:val="center"/>
              <w:rPr>
                <w:rFonts w:ascii="Arial" w:hAnsi="Arial" w:cs="Arial"/>
                <w:sz w:val="24"/>
                <w:szCs w:val="24"/>
              </w:rPr>
            </w:pPr>
            <w:hyperlink r:id="rId6" w:history="1">
              <w:r w:rsidR="00283498" w:rsidRPr="00FA3C86">
                <w:rPr>
                  <w:rStyle w:val="Hyperlink"/>
                  <w:rFonts w:ascii="Arial" w:hAnsi="Arial" w:cs="Arial"/>
                  <w:sz w:val="24"/>
                  <w:szCs w:val="24"/>
                </w:rPr>
                <w:t>7050</w:t>
              </w:r>
            </w:hyperlink>
          </w:p>
        </w:tc>
      </w:tr>
      <w:tr w:rsidR="007D46FD" w:rsidRPr="00605EB5" w14:paraId="701F9329" w14:textId="77777777" w:rsidTr="00914DAB">
        <w:trPr>
          <w:cantSplit/>
        </w:trPr>
        <w:tc>
          <w:tcPr>
            <w:tcW w:w="2250" w:type="dxa"/>
            <w:tcBorders>
              <w:top w:val="single" w:sz="4" w:space="0" w:color="auto"/>
              <w:left w:val="single" w:sz="4" w:space="0" w:color="auto"/>
              <w:bottom w:val="single" w:sz="4" w:space="0" w:color="auto"/>
              <w:right w:val="single" w:sz="4" w:space="0" w:color="auto"/>
            </w:tcBorders>
          </w:tcPr>
          <w:p w14:paraId="11F82121" w14:textId="7635AEB1" w:rsidR="007D46FD" w:rsidRPr="007D46FD" w:rsidRDefault="001948C2" w:rsidP="00CF7987">
            <w:pPr>
              <w:spacing w:before="40"/>
              <w:rPr>
                <w:rFonts w:ascii="Arial" w:hAnsi="Arial" w:cs="Arial"/>
                <w:b/>
                <w:bCs/>
                <w:sz w:val="24"/>
                <w:szCs w:val="24"/>
              </w:rPr>
            </w:pPr>
            <w:hyperlink r:id="rId7" w:history="1">
              <w:r w:rsidR="00B527C6">
                <w:rPr>
                  <w:rStyle w:val="Hyperlink"/>
                  <w:rFonts w:ascii="Arial" w:hAnsi="Arial" w:cs="Arial"/>
                  <w:b/>
                  <w:bCs/>
                  <w:sz w:val="24"/>
                  <w:szCs w:val="24"/>
                </w:rPr>
                <w:t>Chapter 8000</w:t>
              </w:r>
            </w:hyperlink>
          </w:p>
        </w:tc>
        <w:tc>
          <w:tcPr>
            <w:tcW w:w="5760" w:type="dxa"/>
            <w:tcBorders>
              <w:top w:val="single" w:sz="4" w:space="0" w:color="auto"/>
              <w:left w:val="single" w:sz="4" w:space="0" w:color="auto"/>
              <w:bottom w:val="single" w:sz="4" w:space="0" w:color="auto"/>
              <w:right w:val="single" w:sz="4" w:space="0" w:color="auto"/>
            </w:tcBorders>
          </w:tcPr>
          <w:p w14:paraId="771BB87D" w14:textId="77777777" w:rsidR="007D46FD" w:rsidRPr="007D46FD" w:rsidRDefault="007D46FD" w:rsidP="00CF7987">
            <w:pPr>
              <w:spacing w:before="40"/>
              <w:rPr>
                <w:rFonts w:ascii="Arial" w:hAnsi="Arial" w:cs="Arial"/>
                <w:b/>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7D819AE1" w14:textId="77777777" w:rsidR="007D46FD" w:rsidRPr="007D46FD" w:rsidRDefault="007D46FD" w:rsidP="00CF7987">
            <w:pPr>
              <w:spacing w:before="40"/>
              <w:jc w:val="center"/>
              <w:rPr>
                <w:rFonts w:ascii="Arial" w:hAnsi="Arial" w:cs="Arial"/>
                <w:sz w:val="24"/>
                <w:szCs w:val="24"/>
              </w:rPr>
            </w:pPr>
          </w:p>
        </w:tc>
      </w:tr>
      <w:tr w:rsidR="007D46FD" w:rsidRPr="00605EB5" w14:paraId="0458279E" w14:textId="77777777" w:rsidTr="00914DAB">
        <w:trPr>
          <w:cantSplit/>
        </w:trPr>
        <w:tc>
          <w:tcPr>
            <w:tcW w:w="2250" w:type="dxa"/>
            <w:tcBorders>
              <w:top w:val="single" w:sz="4" w:space="0" w:color="auto"/>
              <w:left w:val="single" w:sz="4" w:space="0" w:color="auto"/>
              <w:bottom w:val="single" w:sz="4" w:space="0" w:color="auto"/>
              <w:right w:val="single" w:sz="4" w:space="0" w:color="auto"/>
            </w:tcBorders>
          </w:tcPr>
          <w:p w14:paraId="48C0FD5F" w14:textId="1519B81A" w:rsidR="007D46FD" w:rsidRPr="007D46FD" w:rsidRDefault="00CD0693" w:rsidP="00CF7987">
            <w:pPr>
              <w:spacing w:before="40"/>
              <w:rPr>
                <w:rFonts w:ascii="Arial" w:hAnsi="Arial" w:cs="Arial"/>
                <w:b/>
                <w:bCs/>
                <w:sz w:val="24"/>
                <w:szCs w:val="24"/>
              </w:rPr>
            </w:pPr>
            <w:r>
              <w:rPr>
                <w:rFonts w:ascii="Arial" w:hAnsi="Arial" w:cs="Arial"/>
                <w:b/>
                <w:bCs/>
                <w:sz w:val="24"/>
                <w:szCs w:val="24"/>
              </w:rPr>
              <w:t xml:space="preserve"> Section 8032.5</w:t>
            </w:r>
          </w:p>
        </w:tc>
        <w:tc>
          <w:tcPr>
            <w:tcW w:w="5760" w:type="dxa"/>
            <w:tcBorders>
              <w:top w:val="single" w:sz="4" w:space="0" w:color="auto"/>
              <w:left w:val="single" w:sz="4" w:space="0" w:color="auto"/>
              <w:bottom w:val="single" w:sz="4" w:space="0" w:color="auto"/>
              <w:right w:val="single" w:sz="4" w:space="0" w:color="auto"/>
            </w:tcBorders>
          </w:tcPr>
          <w:p w14:paraId="2EC4F922" w14:textId="00935318" w:rsidR="007D46FD" w:rsidRPr="007D46FD" w:rsidRDefault="00CD0693" w:rsidP="00CF7987">
            <w:pPr>
              <w:spacing w:before="40"/>
              <w:rPr>
                <w:rFonts w:ascii="Arial" w:hAnsi="Arial" w:cs="Arial"/>
                <w:b/>
                <w:sz w:val="24"/>
                <w:szCs w:val="24"/>
              </w:rPr>
            </w:pPr>
            <w:r>
              <w:rPr>
                <w:rFonts w:ascii="Arial" w:hAnsi="Arial" w:cs="Arial"/>
                <w:sz w:val="24"/>
                <w:szCs w:val="24"/>
              </w:rPr>
              <w:t>Updated to include the State Treasurer’s Office (STO) requirement for reporting deposits of State-Issued items totaling $5 million or greater.</w:t>
            </w:r>
            <w:r w:rsidRPr="00956BD9">
              <w:rPr>
                <w:rFonts w:ascii="Arial" w:hAnsi="Arial" w:cs="Arial"/>
                <w:sz w:val="24"/>
                <w:szCs w:val="24"/>
              </w:rPr>
              <w:t xml:space="preserve"> </w:t>
            </w:r>
            <w:r>
              <w:rPr>
                <w:rFonts w:ascii="Arial" w:hAnsi="Arial" w:cs="Arial"/>
                <w:sz w:val="24"/>
                <w:szCs w:val="24"/>
              </w:rPr>
              <w:t xml:space="preserve">Added reference to new </w:t>
            </w:r>
            <w:r w:rsidRPr="00956BD9">
              <w:rPr>
                <w:rFonts w:ascii="Arial" w:hAnsi="Arial" w:cs="Arial"/>
                <w:sz w:val="24"/>
                <w:szCs w:val="24"/>
              </w:rPr>
              <w:t>SAM Section 8032.7</w:t>
            </w:r>
            <w:r>
              <w:rPr>
                <w:rFonts w:ascii="Arial" w:hAnsi="Arial" w:cs="Arial"/>
                <w:sz w:val="24"/>
                <w:szCs w:val="24"/>
              </w:rPr>
              <w:t>, Remitting of State-Issued Items Totaling $5 Million or Greater. Minor language updates.</w:t>
            </w:r>
          </w:p>
        </w:tc>
        <w:tc>
          <w:tcPr>
            <w:tcW w:w="1260" w:type="dxa"/>
            <w:tcBorders>
              <w:top w:val="single" w:sz="4" w:space="0" w:color="auto"/>
              <w:left w:val="single" w:sz="4" w:space="0" w:color="auto"/>
              <w:bottom w:val="single" w:sz="4" w:space="0" w:color="auto"/>
              <w:right w:val="single" w:sz="4" w:space="0" w:color="auto"/>
            </w:tcBorders>
            <w:vAlign w:val="center"/>
          </w:tcPr>
          <w:p w14:paraId="55965C1A" w14:textId="4A39E584" w:rsidR="007D46FD" w:rsidRPr="007D46FD" w:rsidRDefault="00CD0693" w:rsidP="00CF7987">
            <w:pPr>
              <w:spacing w:before="40"/>
              <w:jc w:val="center"/>
              <w:rPr>
                <w:rFonts w:ascii="Arial" w:hAnsi="Arial" w:cs="Arial"/>
                <w:sz w:val="24"/>
                <w:szCs w:val="24"/>
              </w:rPr>
            </w:pPr>
            <w:hyperlink r:id="rId8" w:history="1">
              <w:r w:rsidRPr="00CD0693">
                <w:rPr>
                  <w:rStyle w:val="Hyperlink"/>
                  <w:rFonts w:ascii="Arial" w:hAnsi="Arial" w:cs="Arial"/>
                  <w:sz w:val="24"/>
                  <w:szCs w:val="24"/>
                </w:rPr>
                <w:t>8032.5</w:t>
              </w:r>
            </w:hyperlink>
          </w:p>
        </w:tc>
      </w:tr>
      <w:tr w:rsidR="00F7493F" w:rsidRPr="00605EB5" w14:paraId="79CA3D86" w14:textId="77777777" w:rsidTr="00914DAB">
        <w:trPr>
          <w:cantSplit/>
        </w:trPr>
        <w:tc>
          <w:tcPr>
            <w:tcW w:w="2250" w:type="dxa"/>
            <w:tcBorders>
              <w:top w:val="single" w:sz="4" w:space="0" w:color="auto"/>
              <w:left w:val="single" w:sz="4" w:space="0" w:color="auto"/>
              <w:bottom w:val="single" w:sz="4" w:space="0" w:color="auto"/>
              <w:right w:val="single" w:sz="4" w:space="0" w:color="auto"/>
            </w:tcBorders>
          </w:tcPr>
          <w:p w14:paraId="403B11DB" w14:textId="7AA074EA" w:rsidR="00F7493F" w:rsidRDefault="009B42D2" w:rsidP="00CF7987">
            <w:pPr>
              <w:spacing w:before="40"/>
              <w:rPr>
                <w:rFonts w:ascii="Arial" w:hAnsi="Arial" w:cs="Arial"/>
                <w:b/>
                <w:bCs/>
                <w:sz w:val="24"/>
                <w:szCs w:val="24"/>
              </w:rPr>
            </w:pPr>
            <w:r>
              <w:rPr>
                <w:rFonts w:ascii="Arial" w:hAnsi="Arial" w:cs="Arial"/>
                <w:b/>
                <w:bCs/>
                <w:sz w:val="24"/>
                <w:szCs w:val="24"/>
              </w:rPr>
              <w:t xml:space="preserve"> Section 8032.7</w:t>
            </w:r>
          </w:p>
        </w:tc>
        <w:tc>
          <w:tcPr>
            <w:tcW w:w="5760" w:type="dxa"/>
            <w:tcBorders>
              <w:top w:val="single" w:sz="4" w:space="0" w:color="auto"/>
              <w:left w:val="single" w:sz="4" w:space="0" w:color="auto"/>
              <w:bottom w:val="single" w:sz="4" w:space="0" w:color="auto"/>
              <w:right w:val="single" w:sz="4" w:space="0" w:color="auto"/>
            </w:tcBorders>
          </w:tcPr>
          <w:p w14:paraId="3528CF25" w14:textId="78B23A01" w:rsidR="00F7493F" w:rsidRDefault="009B42D2" w:rsidP="00CF7987">
            <w:pPr>
              <w:spacing w:before="40"/>
              <w:rPr>
                <w:rFonts w:ascii="Arial" w:hAnsi="Arial" w:cs="Arial"/>
                <w:szCs w:val="24"/>
              </w:rPr>
            </w:pPr>
            <w:r>
              <w:rPr>
                <w:rFonts w:ascii="Arial" w:hAnsi="Arial" w:cs="Arial"/>
                <w:sz w:val="24"/>
                <w:szCs w:val="24"/>
              </w:rPr>
              <w:t>A</w:t>
            </w:r>
            <w:r w:rsidRPr="00956BD9">
              <w:rPr>
                <w:rFonts w:ascii="Arial" w:hAnsi="Arial" w:cs="Arial"/>
                <w:sz w:val="24"/>
                <w:szCs w:val="24"/>
              </w:rPr>
              <w:t xml:space="preserve"> new section </w:t>
            </w:r>
            <w:r>
              <w:rPr>
                <w:rFonts w:ascii="Arial" w:hAnsi="Arial" w:cs="Arial"/>
                <w:sz w:val="24"/>
                <w:szCs w:val="24"/>
              </w:rPr>
              <w:t>addresses the STO’s requirement for remitting</w:t>
            </w:r>
            <w:r w:rsidRPr="00956BD9">
              <w:rPr>
                <w:rFonts w:ascii="Arial" w:hAnsi="Arial" w:cs="Arial"/>
                <w:sz w:val="24"/>
                <w:szCs w:val="24"/>
              </w:rPr>
              <w:t xml:space="preserve"> </w:t>
            </w:r>
            <w:r>
              <w:rPr>
                <w:rFonts w:ascii="Arial" w:hAnsi="Arial" w:cs="Arial"/>
                <w:sz w:val="24"/>
                <w:szCs w:val="24"/>
              </w:rPr>
              <w:t xml:space="preserve">State-Issued Items such as </w:t>
            </w:r>
            <w:r w:rsidRPr="00956BD9">
              <w:rPr>
                <w:rFonts w:ascii="Arial" w:hAnsi="Arial" w:cs="Arial"/>
                <w:sz w:val="24"/>
                <w:szCs w:val="24"/>
              </w:rPr>
              <w:t xml:space="preserve">State Controller warrants or Agency Trust/Office Revolving Fund checks </w:t>
            </w:r>
            <w:r>
              <w:rPr>
                <w:rFonts w:ascii="Arial" w:hAnsi="Arial" w:cs="Arial"/>
                <w:sz w:val="24"/>
                <w:szCs w:val="24"/>
              </w:rPr>
              <w:t xml:space="preserve">received </w:t>
            </w:r>
            <w:r w:rsidRPr="00956BD9">
              <w:rPr>
                <w:rFonts w:ascii="Arial" w:hAnsi="Arial" w:cs="Arial"/>
                <w:sz w:val="24"/>
                <w:szCs w:val="24"/>
              </w:rPr>
              <w:t>from other state agencies/departments</w:t>
            </w:r>
            <w:r>
              <w:rPr>
                <w:rFonts w:ascii="Arial" w:hAnsi="Arial" w:cs="Arial"/>
                <w:sz w:val="24"/>
                <w:szCs w:val="24"/>
              </w:rPr>
              <w:t xml:space="preserve"> totaling</w:t>
            </w:r>
            <w:r w:rsidRPr="00956BD9">
              <w:rPr>
                <w:rFonts w:ascii="Arial" w:hAnsi="Arial" w:cs="Arial"/>
                <w:sz w:val="24"/>
                <w:szCs w:val="24"/>
              </w:rPr>
              <w:t xml:space="preserve"> $5 million</w:t>
            </w:r>
            <w:r>
              <w:rPr>
                <w:rFonts w:ascii="Arial" w:hAnsi="Arial" w:cs="Arial"/>
                <w:sz w:val="24"/>
                <w:szCs w:val="24"/>
              </w:rPr>
              <w:t xml:space="preserve"> or greater</w:t>
            </w:r>
            <w:r w:rsidRPr="00956BD9">
              <w:rPr>
                <w:rFonts w:ascii="Arial" w:hAnsi="Arial" w:cs="Arial"/>
                <w:sz w:val="24"/>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14:paraId="799F92A8" w14:textId="77777777" w:rsidR="00F7493F" w:rsidRDefault="00F7493F" w:rsidP="00CF7987">
            <w:pPr>
              <w:spacing w:before="40"/>
              <w:jc w:val="center"/>
              <w:rPr>
                <w:rFonts w:ascii="Arial" w:hAnsi="Arial" w:cs="Arial"/>
                <w:sz w:val="24"/>
                <w:szCs w:val="24"/>
              </w:rPr>
            </w:pPr>
          </w:p>
        </w:tc>
      </w:tr>
      <w:tr w:rsidR="00F7493F" w:rsidRPr="00605EB5" w14:paraId="0190D644" w14:textId="77777777" w:rsidTr="00510E7B">
        <w:trPr>
          <w:cantSplit/>
        </w:trPr>
        <w:tc>
          <w:tcPr>
            <w:tcW w:w="2250" w:type="dxa"/>
            <w:tcBorders>
              <w:top w:val="single" w:sz="4" w:space="0" w:color="auto"/>
              <w:left w:val="single" w:sz="4" w:space="0" w:color="auto"/>
              <w:bottom w:val="single" w:sz="4" w:space="0" w:color="auto"/>
              <w:right w:val="single" w:sz="4" w:space="0" w:color="auto"/>
            </w:tcBorders>
          </w:tcPr>
          <w:p w14:paraId="49557876" w14:textId="248A4146" w:rsidR="00F7493F" w:rsidRDefault="00B527C6" w:rsidP="00F7493F">
            <w:pPr>
              <w:spacing w:before="40"/>
              <w:rPr>
                <w:rFonts w:ascii="Arial" w:hAnsi="Arial" w:cs="Arial"/>
                <w:b/>
                <w:bCs/>
                <w:sz w:val="24"/>
                <w:szCs w:val="24"/>
              </w:rPr>
            </w:pPr>
            <w:hyperlink r:id="rId9" w:history="1">
              <w:r>
                <w:rPr>
                  <w:rStyle w:val="Hyperlink"/>
                  <w:rFonts w:ascii="Arial" w:hAnsi="Arial" w:cs="Arial"/>
                  <w:b/>
                  <w:bCs/>
                  <w:sz w:val="24"/>
                  <w:szCs w:val="24"/>
                </w:rPr>
                <w:t>Chapter 11100</w:t>
              </w:r>
            </w:hyperlink>
          </w:p>
        </w:tc>
        <w:tc>
          <w:tcPr>
            <w:tcW w:w="5760" w:type="dxa"/>
            <w:tcBorders>
              <w:top w:val="single" w:sz="4" w:space="0" w:color="auto"/>
              <w:left w:val="single" w:sz="4" w:space="0" w:color="auto"/>
              <w:bottom w:val="single" w:sz="4" w:space="0" w:color="auto"/>
              <w:right w:val="single" w:sz="4" w:space="0" w:color="auto"/>
            </w:tcBorders>
            <w:vAlign w:val="center"/>
          </w:tcPr>
          <w:p w14:paraId="6EFB1B16" w14:textId="7B194341" w:rsidR="00F7493F" w:rsidRDefault="00F7493F" w:rsidP="00F7493F">
            <w:pPr>
              <w:spacing w:before="40"/>
              <w:rPr>
                <w:rFonts w:ascii="Arial" w:hAnsi="Arial" w:cs="Arial"/>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324AFB20" w14:textId="26ADF83F" w:rsidR="00F7493F" w:rsidRDefault="00F7493F" w:rsidP="00F7493F">
            <w:pPr>
              <w:spacing w:before="40"/>
              <w:jc w:val="center"/>
              <w:rPr>
                <w:rFonts w:ascii="Arial" w:hAnsi="Arial" w:cs="Arial"/>
                <w:sz w:val="24"/>
                <w:szCs w:val="24"/>
              </w:rPr>
            </w:pPr>
          </w:p>
        </w:tc>
      </w:tr>
      <w:tr w:rsidR="00F7493F" w:rsidRPr="00605EB5" w14:paraId="16F067C5" w14:textId="77777777" w:rsidTr="00914DAB">
        <w:trPr>
          <w:cantSplit/>
        </w:trPr>
        <w:tc>
          <w:tcPr>
            <w:tcW w:w="2250" w:type="dxa"/>
            <w:tcBorders>
              <w:top w:val="single" w:sz="4" w:space="0" w:color="auto"/>
              <w:left w:val="single" w:sz="4" w:space="0" w:color="auto"/>
              <w:bottom w:val="single" w:sz="4" w:space="0" w:color="auto"/>
              <w:right w:val="single" w:sz="4" w:space="0" w:color="auto"/>
            </w:tcBorders>
          </w:tcPr>
          <w:p w14:paraId="46675A48" w14:textId="0899F714" w:rsidR="00F7493F" w:rsidRDefault="00DE0647" w:rsidP="00F7493F">
            <w:pPr>
              <w:spacing w:before="40"/>
              <w:rPr>
                <w:rFonts w:ascii="Arial" w:hAnsi="Arial" w:cs="Arial"/>
                <w:b/>
                <w:bCs/>
                <w:sz w:val="24"/>
                <w:szCs w:val="24"/>
              </w:rPr>
            </w:pPr>
            <w:r>
              <w:rPr>
                <w:rFonts w:ascii="Arial" w:hAnsi="Arial" w:cs="Arial"/>
                <w:b/>
                <w:bCs/>
                <w:sz w:val="24"/>
                <w:szCs w:val="24"/>
              </w:rPr>
              <w:t xml:space="preserve"> Section 11100</w:t>
            </w:r>
          </w:p>
        </w:tc>
        <w:tc>
          <w:tcPr>
            <w:tcW w:w="5760" w:type="dxa"/>
            <w:tcBorders>
              <w:top w:val="single" w:sz="4" w:space="0" w:color="auto"/>
              <w:left w:val="single" w:sz="4" w:space="0" w:color="auto"/>
              <w:bottom w:val="single" w:sz="4" w:space="0" w:color="auto"/>
              <w:right w:val="single" w:sz="4" w:space="0" w:color="auto"/>
            </w:tcBorders>
          </w:tcPr>
          <w:p w14:paraId="05FF43B7" w14:textId="10D6DA39" w:rsidR="00F7493F" w:rsidRPr="00DE0647" w:rsidRDefault="00DE0647" w:rsidP="00DE0647">
            <w:pPr>
              <w:spacing w:after="0" w:line="240" w:lineRule="auto"/>
              <w:rPr>
                <w:rFonts w:ascii="Arial" w:hAnsi="Arial" w:cs="Arial"/>
                <w:sz w:val="24"/>
                <w:szCs w:val="24"/>
              </w:rPr>
            </w:pPr>
            <w:r>
              <w:rPr>
                <w:rFonts w:ascii="Arial" w:hAnsi="Arial" w:cs="Arial"/>
                <w:sz w:val="24"/>
                <w:szCs w:val="24"/>
              </w:rPr>
              <w:t>Deleted and renumbered to section 7050, Use of Other Accounting Guidelines.</w:t>
            </w:r>
          </w:p>
        </w:tc>
        <w:tc>
          <w:tcPr>
            <w:tcW w:w="1260" w:type="dxa"/>
            <w:tcBorders>
              <w:top w:val="single" w:sz="4" w:space="0" w:color="auto"/>
              <w:left w:val="single" w:sz="4" w:space="0" w:color="auto"/>
              <w:bottom w:val="single" w:sz="4" w:space="0" w:color="auto"/>
              <w:right w:val="single" w:sz="4" w:space="0" w:color="auto"/>
            </w:tcBorders>
            <w:vAlign w:val="center"/>
          </w:tcPr>
          <w:p w14:paraId="2CD588DE" w14:textId="04AC63A3" w:rsidR="00F7493F" w:rsidRDefault="00DE0647" w:rsidP="00F7493F">
            <w:pPr>
              <w:spacing w:before="40"/>
              <w:jc w:val="center"/>
              <w:rPr>
                <w:rFonts w:ascii="Arial" w:hAnsi="Arial" w:cs="Arial"/>
                <w:sz w:val="24"/>
                <w:szCs w:val="24"/>
              </w:rPr>
            </w:pPr>
            <w:hyperlink r:id="rId10" w:history="1">
              <w:r w:rsidRPr="00DE0647">
                <w:rPr>
                  <w:rStyle w:val="Hyperlink"/>
                  <w:rFonts w:ascii="Arial" w:hAnsi="Arial" w:cs="Arial"/>
                  <w:sz w:val="24"/>
                  <w:szCs w:val="24"/>
                </w:rPr>
                <w:t>11100</w:t>
              </w:r>
            </w:hyperlink>
          </w:p>
        </w:tc>
      </w:tr>
      <w:tr w:rsidR="00F7493F" w:rsidRPr="00605EB5" w14:paraId="6176E4CA" w14:textId="77777777" w:rsidTr="00914DAB">
        <w:trPr>
          <w:cantSplit/>
        </w:trPr>
        <w:tc>
          <w:tcPr>
            <w:tcW w:w="2250" w:type="dxa"/>
            <w:tcBorders>
              <w:top w:val="single" w:sz="4" w:space="0" w:color="auto"/>
              <w:left w:val="single" w:sz="4" w:space="0" w:color="auto"/>
              <w:bottom w:val="single" w:sz="4" w:space="0" w:color="auto"/>
              <w:right w:val="single" w:sz="4" w:space="0" w:color="auto"/>
            </w:tcBorders>
          </w:tcPr>
          <w:p w14:paraId="110945AB" w14:textId="0DBD371D" w:rsidR="00F7493F" w:rsidRPr="00605EB5" w:rsidRDefault="00640CDF" w:rsidP="00F7493F">
            <w:pPr>
              <w:spacing w:before="40"/>
              <w:rPr>
                <w:rFonts w:ascii="Arial" w:hAnsi="Arial" w:cs="Arial"/>
                <w:b/>
                <w:bCs/>
                <w:sz w:val="24"/>
                <w:szCs w:val="24"/>
              </w:rPr>
            </w:pPr>
            <w:hyperlink r:id="rId11" w:history="1">
              <w:r w:rsidRPr="00640CDF">
                <w:rPr>
                  <w:rStyle w:val="Hyperlink"/>
                  <w:rFonts w:ascii="Arial" w:hAnsi="Arial" w:cs="Arial"/>
                  <w:b/>
                  <w:bCs/>
                  <w:sz w:val="24"/>
                  <w:szCs w:val="24"/>
                </w:rPr>
                <w:t>Chapter 13400</w:t>
              </w:r>
            </w:hyperlink>
          </w:p>
        </w:tc>
        <w:tc>
          <w:tcPr>
            <w:tcW w:w="5760" w:type="dxa"/>
            <w:tcBorders>
              <w:top w:val="single" w:sz="4" w:space="0" w:color="auto"/>
              <w:left w:val="single" w:sz="4" w:space="0" w:color="auto"/>
              <w:bottom w:val="single" w:sz="4" w:space="0" w:color="auto"/>
              <w:right w:val="single" w:sz="4" w:space="0" w:color="auto"/>
            </w:tcBorders>
          </w:tcPr>
          <w:p w14:paraId="2BC274B6" w14:textId="77777777" w:rsidR="00F7493F" w:rsidRPr="00605EB5" w:rsidRDefault="00F7493F" w:rsidP="00F7493F">
            <w:pPr>
              <w:spacing w:before="40"/>
              <w:rPr>
                <w:rFonts w:ascii="Arial" w:hAnsi="Arial" w:cs="Arial"/>
                <w:b/>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5E042E73" w14:textId="7BFE1216" w:rsidR="00F7493F" w:rsidRPr="00605EB5" w:rsidRDefault="00F7493F" w:rsidP="00F7493F">
            <w:pPr>
              <w:spacing w:before="40"/>
              <w:jc w:val="center"/>
              <w:rPr>
                <w:rFonts w:ascii="Arial" w:hAnsi="Arial" w:cs="Arial"/>
                <w:sz w:val="24"/>
                <w:szCs w:val="24"/>
              </w:rPr>
            </w:pPr>
          </w:p>
        </w:tc>
      </w:tr>
      <w:tr w:rsidR="00640CDF" w:rsidRPr="00605EB5" w14:paraId="23179988" w14:textId="77777777" w:rsidTr="00BF05CD">
        <w:trPr>
          <w:cantSplit/>
        </w:trPr>
        <w:tc>
          <w:tcPr>
            <w:tcW w:w="2250" w:type="dxa"/>
            <w:tcBorders>
              <w:top w:val="single" w:sz="4" w:space="0" w:color="auto"/>
              <w:left w:val="single" w:sz="4" w:space="0" w:color="auto"/>
              <w:bottom w:val="single" w:sz="4" w:space="0" w:color="auto"/>
              <w:right w:val="single" w:sz="4" w:space="0" w:color="auto"/>
            </w:tcBorders>
          </w:tcPr>
          <w:p w14:paraId="4417C8AC" w14:textId="3DE2F43B" w:rsidR="00640CDF" w:rsidRPr="00605EB5" w:rsidRDefault="00640CDF" w:rsidP="00640CDF">
            <w:pPr>
              <w:spacing w:before="40"/>
              <w:rPr>
                <w:rFonts w:ascii="Arial" w:hAnsi="Arial" w:cs="Arial"/>
                <w:b/>
                <w:bCs/>
                <w:sz w:val="24"/>
                <w:szCs w:val="24"/>
              </w:rPr>
            </w:pPr>
            <w:r>
              <w:rPr>
                <w:rFonts w:ascii="Arial" w:hAnsi="Arial" w:cs="Arial"/>
                <w:b/>
                <w:bCs/>
                <w:sz w:val="24"/>
                <w:szCs w:val="24"/>
              </w:rPr>
              <w:t xml:space="preserve"> Section 13400</w:t>
            </w:r>
          </w:p>
        </w:tc>
        <w:tc>
          <w:tcPr>
            <w:tcW w:w="5760" w:type="dxa"/>
            <w:tcBorders>
              <w:top w:val="single" w:sz="4" w:space="0" w:color="auto"/>
              <w:left w:val="single" w:sz="4" w:space="0" w:color="auto"/>
              <w:bottom w:val="single" w:sz="4" w:space="0" w:color="auto"/>
              <w:right w:val="single" w:sz="4" w:space="0" w:color="auto"/>
            </w:tcBorders>
          </w:tcPr>
          <w:p w14:paraId="5F7A4ED7" w14:textId="45E7911E" w:rsidR="00640CDF" w:rsidRPr="00955198" w:rsidRDefault="00640CDF" w:rsidP="00640CDF">
            <w:pPr>
              <w:spacing w:before="40"/>
              <w:rPr>
                <w:rFonts w:ascii="Arial" w:hAnsi="Arial" w:cs="Arial"/>
                <w:b/>
                <w:sz w:val="24"/>
                <w:szCs w:val="24"/>
              </w:rPr>
            </w:pPr>
            <w:r w:rsidRPr="00780D7A">
              <w:rPr>
                <w:rFonts w:ascii="Arial" w:hAnsi="Arial" w:cs="Arial"/>
                <w:sz w:val="24"/>
                <w:szCs w:val="24"/>
              </w:rPr>
              <w:t xml:space="preserve">Revised to make the content current.  </w:t>
            </w:r>
          </w:p>
        </w:tc>
        <w:tc>
          <w:tcPr>
            <w:tcW w:w="1260" w:type="dxa"/>
            <w:tcBorders>
              <w:top w:val="single" w:sz="4" w:space="0" w:color="auto"/>
              <w:left w:val="single" w:sz="4" w:space="0" w:color="auto"/>
              <w:bottom w:val="single" w:sz="4" w:space="0" w:color="auto"/>
              <w:right w:val="single" w:sz="4" w:space="0" w:color="auto"/>
            </w:tcBorders>
            <w:vAlign w:val="center"/>
          </w:tcPr>
          <w:p w14:paraId="722F7E92" w14:textId="5D08D332" w:rsidR="00640CDF" w:rsidRPr="00605EB5" w:rsidRDefault="00640CDF" w:rsidP="00640CDF">
            <w:pPr>
              <w:spacing w:before="40"/>
              <w:jc w:val="center"/>
              <w:rPr>
                <w:rFonts w:ascii="Arial" w:hAnsi="Arial" w:cs="Arial"/>
                <w:sz w:val="24"/>
                <w:szCs w:val="24"/>
              </w:rPr>
            </w:pPr>
            <w:hyperlink r:id="rId12" w:history="1">
              <w:r w:rsidRPr="00640CDF">
                <w:rPr>
                  <w:rStyle w:val="Hyperlink"/>
                  <w:rFonts w:ascii="Arial" w:hAnsi="Arial" w:cs="Arial"/>
                  <w:sz w:val="24"/>
                  <w:szCs w:val="24"/>
                </w:rPr>
                <w:t>13400</w:t>
              </w:r>
            </w:hyperlink>
          </w:p>
        </w:tc>
      </w:tr>
      <w:tr w:rsidR="00FF7ED2" w:rsidRPr="00605EB5" w14:paraId="20EB791C" w14:textId="77777777" w:rsidTr="00B71E1E">
        <w:trPr>
          <w:cantSplit/>
        </w:trPr>
        <w:tc>
          <w:tcPr>
            <w:tcW w:w="2250" w:type="dxa"/>
            <w:tcBorders>
              <w:top w:val="single" w:sz="4" w:space="0" w:color="auto"/>
              <w:left w:val="single" w:sz="4" w:space="0" w:color="auto"/>
              <w:bottom w:val="single" w:sz="4" w:space="0" w:color="auto"/>
              <w:right w:val="single" w:sz="4" w:space="0" w:color="auto"/>
            </w:tcBorders>
          </w:tcPr>
          <w:p w14:paraId="3EEE5CE2" w14:textId="7A1DEE28" w:rsidR="00FF7ED2" w:rsidRDefault="00FF7ED2" w:rsidP="00FF7ED2">
            <w:pPr>
              <w:spacing w:before="40"/>
              <w:rPr>
                <w:rFonts w:ascii="Arial" w:hAnsi="Arial" w:cs="Arial"/>
                <w:b/>
                <w:bCs/>
                <w:sz w:val="24"/>
                <w:szCs w:val="24"/>
              </w:rPr>
            </w:pPr>
            <w:r>
              <w:rPr>
                <w:rFonts w:ascii="Arial" w:hAnsi="Arial" w:cs="Arial"/>
                <w:b/>
                <w:bCs/>
                <w:sz w:val="24"/>
                <w:szCs w:val="24"/>
              </w:rPr>
              <w:t xml:space="preserve"> Section 13410</w:t>
            </w:r>
          </w:p>
        </w:tc>
        <w:tc>
          <w:tcPr>
            <w:tcW w:w="5760" w:type="dxa"/>
            <w:tcBorders>
              <w:top w:val="single" w:sz="4" w:space="0" w:color="auto"/>
              <w:left w:val="single" w:sz="4" w:space="0" w:color="auto"/>
              <w:bottom w:val="single" w:sz="4" w:space="0" w:color="auto"/>
              <w:right w:val="single" w:sz="4" w:space="0" w:color="auto"/>
            </w:tcBorders>
          </w:tcPr>
          <w:p w14:paraId="596E1B06" w14:textId="12F3BD18" w:rsidR="00FF7ED2" w:rsidRPr="00955198" w:rsidRDefault="00FF7ED2" w:rsidP="00FF7ED2">
            <w:pPr>
              <w:spacing w:before="40"/>
              <w:rPr>
                <w:rFonts w:ascii="Arial" w:hAnsi="Arial" w:cs="Arial"/>
                <w:sz w:val="24"/>
                <w:szCs w:val="24"/>
              </w:rPr>
            </w:pPr>
            <w:r>
              <w:rPr>
                <w:rFonts w:ascii="Arial" w:hAnsi="Arial" w:cs="Arial"/>
                <w:sz w:val="24"/>
                <w:szCs w:val="24"/>
              </w:rPr>
              <w:t>R</w:t>
            </w:r>
            <w:r w:rsidRPr="00780D7A">
              <w:rPr>
                <w:rFonts w:ascii="Arial" w:hAnsi="Arial" w:cs="Arial"/>
                <w:sz w:val="24"/>
                <w:szCs w:val="24"/>
              </w:rPr>
              <w:t xml:space="preserve">enumbered from section 16400 to 13410. Revised to make the content current.                                                                         </w:t>
            </w:r>
          </w:p>
        </w:tc>
        <w:tc>
          <w:tcPr>
            <w:tcW w:w="1260" w:type="dxa"/>
            <w:tcBorders>
              <w:top w:val="single" w:sz="4" w:space="0" w:color="auto"/>
              <w:left w:val="single" w:sz="4" w:space="0" w:color="auto"/>
              <w:bottom w:val="single" w:sz="4" w:space="0" w:color="auto"/>
              <w:right w:val="single" w:sz="4" w:space="0" w:color="auto"/>
            </w:tcBorders>
            <w:vAlign w:val="center"/>
          </w:tcPr>
          <w:p w14:paraId="700F959C" w14:textId="10849ADD" w:rsidR="00FF7ED2" w:rsidRPr="00605EB5" w:rsidRDefault="00FF7ED2" w:rsidP="00FF7ED2">
            <w:pPr>
              <w:spacing w:before="40"/>
              <w:jc w:val="center"/>
              <w:rPr>
                <w:rFonts w:ascii="Arial" w:hAnsi="Arial" w:cs="Arial"/>
                <w:sz w:val="24"/>
                <w:szCs w:val="24"/>
              </w:rPr>
            </w:pPr>
            <w:hyperlink r:id="rId13" w:history="1">
              <w:r w:rsidRPr="00FF7ED2">
                <w:rPr>
                  <w:rStyle w:val="Hyperlink"/>
                  <w:rFonts w:ascii="Arial" w:hAnsi="Arial" w:cs="Arial"/>
                  <w:sz w:val="24"/>
                  <w:szCs w:val="24"/>
                </w:rPr>
                <w:t>13410</w:t>
              </w:r>
            </w:hyperlink>
          </w:p>
        </w:tc>
      </w:tr>
      <w:tr w:rsidR="00FF7ED2" w:rsidRPr="00605EB5" w14:paraId="13DA85B4" w14:textId="77777777" w:rsidTr="00B80367">
        <w:trPr>
          <w:cantSplit/>
        </w:trPr>
        <w:tc>
          <w:tcPr>
            <w:tcW w:w="2250" w:type="dxa"/>
            <w:tcBorders>
              <w:top w:val="single" w:sz="4" w:space="0" w:color="auto"/>
              <w:left w:val="single" w:sz="4" w:space="0" w:color="auto"/>
              <w:bottom w:val="single" w:sz="4" w:space="0" w:color="auto"/>
              <w:right w:val="single" w:sz="4" w:space="0" w:color="auto"/>
            </w:tcBorders>
          </w:tcPr>
          <w:p w14:paraId="0541CCD4" w14:textId="13D800D6" w:rsidR="00FF7ED2" w:rsidRDefault="001948C2" w:rsidP="00FF7ED2">
            <w:pPr>
              <w:spacing w:before="40"/>
              <w:rPr>
                <w:rFonts w:ascii="Arial" w:hAnsi="Arial" w:cs="Arial"/>
                <w:b/>
                <w:bCs/>
                <w:sz w:val="24"/>
                <w:szCs w:val="24"/>
              </w:rPr>
            </w:pPr>
            <w:r>
              <w:rPr>
                <w:rFonts w:ascii="Arial" w:hAnsi="Arial" w:cs="Arial"/>
                <w:b/>
                <w:bCs/>
                <w:sz w:val="24"/>
                <w:szCs w:val="24"/>
              </w:rPr>
              <w:t>Chapter 13400</w:t>
            </w:r>
          </w:p>
        </w:tc>
        <w:tc>
          <w:tcPr>
            <w:tcW w:w="5760" w:type="dxa"/>
            <w:tcBorders>
              <w:top w:val="single" w:sz="4" w:space="0" w:color="auto"/>
              <w:left w:val="single" w:sz="4" w:space="0" w:color="auto"/>
              <w:bottom w:val="single" w:sz="4" w:space="0" w:color="auto"/>
              <w:right w:val="single" w:sz="4" w:space="0" w:color="auto"/>
            </w:tcBorders>
            <w:vAlign w:val="center"/>
          </w:tcPr>
          <w:p w14:paraId="485B9E28" w14:textId="443BEFEC" w:rsidR="00FF7ED2" w:rsidRPr="00D62BB1" w:rsidRDefault="00FF7ED2" w:rsidP="00FF7ED2">
            <w:pPr>
              <w:spacing w:before="40"/>
              <w:rPr>
                <w:rFonts w:ascii="Arial" w:hAnsi="Arial" w:cs="Arial"/>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7DCF46C2" w14:textId="51299B69" w:rsidR="00FF7ED2" w:rsidRPr="00605EB5" w:rsidRDefault="00FF7ED2" w:rsidP="00FF7ED2">
            <w:pPr>
              <w:spacing w:before="40"/>
              <w:jc w:val="center"/>
              <w:rPr>
                <w:rFonts w:ascii="Arial" w:hAnsi="Arial" w:cs="Arial"/>
                <w:sz w:val="24"/>
                <w:szCs w:val="24"/>
              </w:rPr>
            </w:pPr>
          </w:p>
        </w:tc>
      </w:tr>
      <w:tr w:rsidR="001948C2" w:rsidRPr="00605EB5" w14:paraId="4DEB2338" w14:textId="77777777" w:rsidTr="004644B2">
        <w:trPr>
          <w:cantSplit/>
        </w:trPr>
        <w:tc>
          <w:tcPr>
            <w:tcW w:w="2250" w:type="dxa"/>
            <w:tcBorders>
              <w:top w:val="single" w:sz="4" w:space="0" w:color="auto"/>
              <w:left w:val="single" w:sz="4" w:space="0" w:color="auto"/>
              <w:bottom w:val="single" w:sz="4" w:space="0" w:color="auto"/>
              <w:right w:val="single" w:sz="4" w:space="0" w:color="auto"/>
            </w:tcBorders>
          </w:tcPr>
          <w:p w14:paraId="65A4C336" w14:textId="0D7A518C" w:rsidR="001948C2" w:rsidRDefault="001948C2" w:rsidP="001948C2">
            <w:pPr>
              <w:spacing w:before="40"/>
              <w:rPr>
                <w:rFonts w:ascii="Arial" w:hAnsi="Arial" w:cs="Arial"/>
                <w:b/>
                <w:bCs/>
                <w:sz w:val="24"/>
                <w:szCs w:val="24"/>
              </w:rPr>
            </w:pPr>
            <w:r>
              <w:rPr>
                <w:rFonts w:ascii="Arial" w:hAnsi="Arial" w:cs="Arial"/>
                <w:b/>
                <w:bCs/>
                <w:sz w:val="24"/>
                <w:szCs w:val="24"/>
              </w:rPr>
              <w:t xml:space="preserve"> Section 16400</w:t>
            </w:r>
          </w:p>
        </w:tc>
        <w:tc>
          <w:tcPr>
            <w:tcW w:w="5760" w:type="dxa"/>
            <w:tcBorders>
              <w:top w:val="single" w:sz="4" w:space="0" w:color="auto"/>
              <w:left w:val="single" w:sz="4" w:space="0" w:color="auto"/>
              <w:bottom w:val="single" w:sz="4" w:space="0" w:color="auto"/>
              <w:right w:val="single" w:sz="4" w:space="0" w:color="auto"/>
            </w:tcBorders>
          </w:tcPr>
          <w:p w14:paraId="7CE1EDEB" w14:textId="1E02EF02" w:rsidR="001948C2" w:rsidRPr="007E1334" w:rsidRDefault="001948C2" w:rsidP="001948C2">
            <w:pPr>
              <w:spacing w:before="40"/>
              <w:rPr>
                <w:rFonts w:ascii="Arial" w:hAnsi="Arial" w:cs="Arial"/>
                <w:sz w:val="24"/>
                <w:szCs w:val="24"/>
              </w:rPr>
            </w:pPr>
            <w:r w:rsidRPr="00780D7A">
              <w:rPr>
                <w:rFonts w:ascii="Arial" w:hAnsi="Arial" w:cs="Arial"/>
                <w:sz w:val="24"/>
                <w:szCs w:val="24"/>
              </w:rPr>
              <w:t>Revised and renumbered to section 13410.</w:t>
            </w:r>
            <w:r>
              <w:rPr>
                <w:rFonts w:ascii="Arial" w:hAnsi="Arial" w:cs="Arial"/>
                <w:sz w:val="24"/>
                <w:szCs w:val="24"/>
              </w:rPr>
              <w:t xml:space="preserve"> 16400 deleted.</w:t>
            </w:r>
          </w:p>
        </w:tc>
        <w:tc>
          <w:tcPr>
            <w:tcW w:w="1260" w:type="dxa"/>
            <w:tcBorders>
              <w:top w:val="single" w:sz="4" w:space="0" w:color="auto"/>
              <w:left w:val="single" w:sz="4" w:space="0" w:color="auto"/>
              <w:bottom w:val="single" w:sz="4" w:space="0" w:color="auto"/>
              <w:right w:val="single" w:sz="4" w:space="0" w:color="auto"/>
            </w:tcBorders>
            <w:vAlign w:val="center"/>
          </w:tcPr>
          <w:p w14:paraId="02714184" w14:textId="5B6A4DC1" w:rsidR="001948C2" w:rsidRDefault="001948C2" w:rsidP="001948C2">
            <w:pPr>
              <w:spacing w:before="40"/>
              <w:jc w:val="center"/>
              <w:rPr>
                <w:rFonts w:ascii="Arial" w:hAnsi="Arial" w:cs="Arial"/>
                <w:sz w:val="24"/>
                <w:szCs w:val="24"/>
              </w:rPr>
            </w:pPr>
            <w:hyperlink r:id="rId14" w:history="1">
              <w:r w:rsidRPr="001948C2">
                <w:rPr>
                  <w:rStyle w:val="Hyperlink"/>
                  <w:rFonts w:ascii="Arial" w:hAnsi="Arial" w:cs="Arial"/>
                  <w:sz w:val="24"/>
                  <w:szCs w:val="24"/>
                </w:rPr>
                <w:t>16400</w:t>
              </w:r>
            </w:hyperlink>
          </w:p>
        </w:tc>
      </w:tr>
      <w:tr w:rsidR="001948C2" w:rsidRPr="00605EB5" w14:paraId="4FC2A891" w14:textId="77777777" w:rsidTr="00B80367">
        <w:trPr>
          <w:cantSplit/>
        </w:trPr>
        <w:tc>
          <w:tcPr>
            <w:tcW w:w="2250" w:type="dxa"/>
            <w:tcBorders>
              <w:top w:val="single" w:sz="4" w:space="0" w:color="auto"/>
              <w:left w:val="single" w:sz="4" w:space="0" w:color="auto"/>
              <w:bottom w:val="single" w:sz="4" w:space="0" w:color="auto"/>
              <w:right w:val="single" w:sz="4" w:space="0" w:color="auto"/>
            </w:tcBorders>
          </w:tcPr>
          <w:p w14:paraId="02FC966D" w14:textId="177458EE" w:rsidR="001948C2" w:rsidRDefault="001948C2" w:rsidP="001948C2">
            <w:pPr>
              <w:spacing w:before="40"/>
              <w:rPr>
                <w:rFonts w:ascii="Arial" w:hAnsi="Arial" w:cs="Arial"/>
                <w:b/>
                <w:bCs/>
                <w:sz w:val="24"/>
                <w:szCs w:val="24"/>
              </w:rPr>
            </w:pPr>
          </w:p>
        </w:tc>
        <w:tc>
          <w:tcPr>
            <w:tcW w:w="5760" w:type="dxa"/>
            <w:tcBorders>
              <w:top w:val="single" w:sz="4" w:space="0" w:color="auto"/>
              <w:left w:val="single" w:sz="4" w:space="0" w:color="auto"/>
              <w:bottom w:val="single" w:sz="4" w:space="0" w:color="auto"/>
              <w:right w:val="single" w:sz="4" w:space="0" w:color="auto"/>
            </w:tcBorders>
            <w:vAlign w:val="center"/>
          </w:tcPr>
          <w:p w14:paraId="2F23740B" w14:textId="787ABB67" w:rsidR="001948C2" w:rsidRPr="007E1334" w:rsidRDefault="001948C2" w:rsidP="001948C2">
            <w:pPr>
              <w:spacing w:before="40"/>
              <w:rPr>
                <w:rFonts w:ascii="Arial" w:hAnsi="Arial" w:cs="Arial"/>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7E27966C" w14:textId="6E922AA4" w:rsidR="001948C2" w:rsidRDefault="001948C2" w:rsidP="001948C2">
            <w:pPr>
              <w:spacing w:before="40"/>
              <w:jc w:val="center"/>
              <w:rPr>
                <w:rFonts w:ascii="Arial" w:hAnsi="Arial" w:cs="Arial"/>
                <w:sz w:val="24"/>
                <w:szCs w:val="24"/>
              </w:rPr>
            </w:pPr>
          </w:p>
        </w:tc>
      </w:tr>
      <w:tr w:rsidR="001948C2" w:rsidRPr="00605EB5" w14:paraId="1680195F" w14:textId="77777777" w:rsidTr="00B80367">
        <w:trPr>
          <w:cantSplit/>
        </w:trPr>
        <w:tc>
          <w:tcPr>
            <w:tcW w:w="2250" w:type="dxa"/>
            <w:tcBorders>
              <w:top w:val="single" w:sz="4" w:space="0" w:color="auto"/>
              <w:left w:val="single" w:sz="4" w:space="0" w:color="auto"/>
              <w:bottom w:val="single" w:sz="4" w:space="0" w:color="auto"/>
              <w:right w:val="single" w:sz="4" w:space="0" w:color="auto"/>
            </w:tcBorders>
          </w:tcPr>
          <w:p w14:paraId="302FB480" w14:textId="1A0AE730" w:rsidR="001948C2" w:rsidRDefault="001948C2" w:rsidP="001948C2">
            <w:pPr>
              <w:spacing w:before="40"/>
              <w:rPr>
                <w:rFonts w:ascii="Arial" w:hAnsi="Arial" w:cs="Arial"/>
                <w:b/>
                <w:bCs/>
                <w:sz w:val="24"/>
                <w:szCs w:val="24"/>
              </w:rPr>
            </w:pPr>
          </w:p>
        </w:tc>
        <w:tc>
          <w:tcPr>
            <w:tcW w:w="5760" w:type="dxa"/>
            <w:tcBorders>
              <w:top w:val="single" w:sz="4" w:space="0" w:color="auto"/>
              <w:left w:val="single" w:sz="4" w:space="0" w:color="auto"/>
              <w:bottom w:val="single" w:sz="4" w:space="0" w:color="auto"/>
              <w:right w:val="single" w:sz="4" w:space="0" w:color="auto"/>
            </w:tcBorders>
            <w:vAlign w:val="center"/>
          </w:tcPr>
          <w:p w14:paraId="312C660C" w14:textId="20CAAAE5" w:rsidR="001948C2" w:rsidRPr="006D3352" w:rsidRDefault="001948C2" w:rsidP="001948C2">
            <w:pPr>
              <w:spacing w:before="40"/>
              <w:rPr>
                <w:rFonts w:ascii="Arial" w:hAnsi="Arial" w:cs="Arial"/>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0F53A225" w14:textId="65845556" w:rsidR="001948C2" w:rsidRDefault="001948C2" w:rsidP="001948C2">
            <w:pPr>
              <w:spacing w:before="40"/>
              <w:jc w:val="center"/>
              <w:rPr>
                <w:rFonts w:ascii="Arial" w:hAnsi="Arial" w:cs="Arial"/>
                <w:sz w:val="24"/>
                <w:szCs w:val="24"/>
              </w:rPr>
            </w:pPr>
          </w:p>
        </w:tc>
      </w:tr>
      <w:tr w:rsidR="001948C2" w:rsidRPr="00605EB5" w14:paraId="7B0E2B33" w14:textId="77777777" w:rsidTr="00B80367">
        <w:trPr>
          <w:cantSplit/>
        </w:trPr>
        <w:tc>
          <w:tcPr>
            <w:tcW w:w="2250" w:type="dxa"/>
            <w:tcBorders>
              <w:top w:val="single" w:sz="4" w:space="0" w:color="auto"/>
              <w:left w:val="single" w:sz="4" w:space="0" w:color="auto"/>
              <w:bottom w:val="single" w:sz="4" w:space="0" w:color="auto"/>
              <w:right w:val="single" w:sz="4" w:space="0" w:color="auto"/>
            </w:tcBorders>
          </w:tcPr>
          <w:p w14:paraId="3C52E4B7" w14:textId="1DE9ACF1" w:rsidR="001948C2" w:rsidRDefault="001948C2" w:rsidP="001948C2">
            <w:pPr>
              <w:spacing w:before="40"/>
              <w:rPr>
                <w:rFonts w:ascii="Arial" w:hAnsi="Arial" w:cs="Arial"/>
                <w:b/>
                <w:bCs/>
                <w:sz w:val="24"/>
                <w:szCs w:val="24"/>
              </w:rPr>
            </w:pPr>
          </w:p>
        </w:tc>
        <w:tc>
          <w:tcPr>
            <w:tcW w:w="5760" w:type="dxa"/>
            <w:tcBorders>
              <w:top w:val="single" w:sz="4" w:space="0" w:color="auto"/>
              <w:left w:val="single" w:sz="4" w:space="0" w:color="auto"/>
              <w:bottom w:val="single" w:sz="4" w:space="0" w:color="auto"/>
              <w:right w:val="single" w:sz="4" w:space="0" w:color="auto"/>
            </w:tcBorders>
            <w:vAlign w:val="center"/>
          </w:tcPr>
          <w:p w14:paraId="531D09E9" w14:textId="40EB4CAF" w:rsidR="001948C2" w:rsidRPr="008D54FB" w:rsidRDefault="001948C2" w:rsidP="001948C2">
            <w:pPr>
              <w:spacing w:before="40"/>
              <w:rPr>
                <w:rFonts w:ascii="Arial" w:hAnsi="Arial" w:cs="Arial"/>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1C1209C9" w14:textId="2F53E7AB" w:rsidR="001948C2" w:rsidRDefault="001948C2" w:rsidP="001948C2">
            <w:pPr>
              <w:spacing w:before="40"/>
              <w:jc w:val="center"/>
              <w:rPr>
                <w:rFonts w:ascii="Arial" w:hAnsi="Arial" w:cs="Arial"/>
                <w:sz w:val="24"/>
                <w:szCs w:val="24"/>
              </w:rPr>
            </w:pPr>
          </w:p>
        </w:tc>
      </w:tr>
      <w:tr w:rsidR="001948C2" w:rsidRPr="00605EB5" w14:paraId="265C4CEB" w14:textId="77777777" w:rsidTr="00B80367">
        <w:trPr>
          <w:cantSplit/>
        </w:trPr>
        <w:tc>
          <w:tcPr>
            <w:tcW w:w="2250" w:type="dxa"/>
            <w:tcBorders>
              <w:top w:val="single" w:sz="4" w:space="0" w:color="auto"/>
              <w:left w:val="single" w:sz="4" w:space="0" w:color="auto"/>
              <w:bottom w:val="single" w:sz="4" w:space="0" w:color="auto"/>
              <w:right w:val="single" w:sz="4" w:space="0" w:color="auto"/>
            </w:tcBorders>
          </w:tcPr>
          <w:p w14:paraId="672F5EB8" w14:textId="289C6B73" w:rsidR="001948C2" w:rsidRDefault="001948C2" w:rsidP="001948C2">
            <w:pPr>
              <w:spacing w:before="40"/>
              <w:rPr>
                <w:rFonts w:ascii="Arial" w:hAnsi="Arial" w:cs="Arial"/>
                <w:b/>
                <w:bCs/>
                <w:sz w:val="24"/>
                <w:szCs w:val="24"/>
              </w:rPr>
            </w:pPr>
          </w:p>
        </w:tc>
        <w:tc>
          <w:tcPr>
            <w:tcW w:w="5760" w:type="dxa"/>
            <w:tcBorders>
              <w:top w:val="single" w:sz="4" w:space="0" w:color="auto"/>
              <w:left w:val="single" w:sz="4" w:space="0" w:color="auto"/>
              <w:bottom w:val="single" w:sz="4" w:space="0" w:color="auto"/>
              <w:right w:val="single" w:sz="4" w:space="0" w:color="auto"/>
            </w:tcBorders>
            <w:vAlign w:val="center"/>
          </w:tcPr>
          <w:p w14:paraId="1F51B274" w14:textId="77777777" w:rsidR="001948C2" w:rsidRPr="00955198" w:rsidRDefault="001948C2" w:rsidP="001948C2">
            <w:pPr>
              <w:spacing w:before="40"/>
              <w:rPr>
                <w:rFonts w:ascii="Arial" w:hAnsi="Arial" w:cs="Arial"/>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1C37DE6A" w14:textId="77777777" w:rsidR="001948C2" w:rsidRPr="00605EB5" w:rsidRDefault="001948C2" w:rsidP="001948C2">
            <w:pPr>
              <w:spacing w:before="40"/>
              <w:jc w:val="center"/>
              <w:rPr>
                <w:rFonts w:ascii="Arial" w:hAnsi="Arial" w:cs="Arial"/>
                <w:sz w:val="24"/>
                <w:szCs w:val="24"/>
              </w:rPr>
            </w:pPr>
          </w:p>
        </w:tc>
      </w:tr>
      <w:tr w:rsidR="001948C2" w:rsidRPr="00605EB5" w14:paraId="1E536FCA" w14:textId="77777777" w:rsidTr="00B80367">
        <w:trPr>
          <w:cantSplit/>
        </w:trPr>
        <w:tc>
          <w:tcPr>
            <w:tcW w:w="2250" w:type="dxa"/>
            <w:tcBorders>
              <w:top w:val="single" w:sz="4" w:space="0" w:color="auto"/>
              <w:left w:val="single" w:sz="4" w:space="0" w:color="auto"/>
              <w:bottom w:val="single" w:sz="4" w:space="0" w:color="auto"/>
              <w:right w:val="single" w:sz="4" w:space="0" w:color="auto"/>
            </w:tcBorders>
          </w:tcPr>
          <w:p w14:paraId="73D2BFE9" w14:textId="4934670F" w:rsidR="001948C2" w:rsidRDefault="001948C2" w:rsidP="001948C2">
            <w:pPr>
              <w:spacing w:before="40"/>
              <w:rPr>
                <w:rFonts w:ascii="Arial" w:hAnsi="Arial" w:cs="Arial"/>
                <w:b/>
                <w:bCs/>
                <w:sz w:val="24"/>
                <w:szCs w:val="24"/>
              </w:rPr>
            </w:pPr>
          </w:p>
        </w:tc>
        <w:tc>
          <w:tcPr>
            <w:tcW w:w="5760" w:type="dxa"/>
            <w:tcBorders>
              <w:top w:val="single" w:sz="4" w:space="0" w:color="auto"/>
              <w:left w:val="single" w:sz="4" w:space="0" w:color="auto"/>
              <w:bottom w:val="single" w:sz="4" w:space="0" w:color="auto"/>
              <w:right w:val="single" w:sz="4" w:space="0" w:color="auto"/>
            </w:tcBorders>
            <w:vAlign w:val="center"/>
          </w:tcPr>
          <w:p w14:paraId="7719411B" w14:textId="1C5021FB" w:rsidR="001948C2" w:rsidRPr="006279D7" w:rsidRDefault="001948C2" w:rsidP="001948C2">
            <w:pPr>
              <w:spacing w:before="40"/>
              <w:rPr>
                <w:rFonts w:ascii="Arial" w:hAnsi="Arial" w:cs="Arial"/>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1EE3A591" w14:textId="13D2E2B6" w:rsidR="001948C2" w:rsidRPr="00605EB5" w:rsidRDefault="001948C2" w:rsidP="001948C2">
            <w:pPr>
              <w:spacing w:before="40"/>
              <w:jc w:val="center"/>
              <w:rPr>
                <w:rFonts w:ascii="Arial" w:hAnsi="Arial" w:cs="Arial"/>
                <w:sz w:val="24"/>
                <w:szCs w:val="24"/>
              </w:rPr>
            </w:pPr>
          </w:p>
        </w:tc>
      </w:tr>
      <w:tr w:rsidR="001948C2" w:rsidRPr="00605EB5" w14:paraId="58344DEE" w14:textId="77777777" w:rsidTr="00B80367">
        <w:trPr>
          <w:cantSplit/>
        </w:trPr>
        <w:tc>
          <w:tcPr>
            <w:tcW w:w="2250" w:type="dxa"/>
            <w:tcBorders>
              <w:top w:val="single" w:sz="4" w:space="0" w:color="auto"/>
              <w:left w:val="single" w:sz="4" w:space="0" w:color="auto"/>
              <w:bottom w:val="single" w:sz="4" w:space="0" w:color="auto"/>
              <w:right w:val="single" w:sz="4" w:space="0" w:color="auto"/>
            </w:tcBorders>
          </w:tcPr>
          <w:p w14:paraId="2F91995A" w14:textId="7A629239" w:rsidR="001948C2" w:rsidRDefault="001948C2" w:rsidP="001948C2">
            <w:pPr>
              <w:spacing w:before="40"/>
              <w:rPr>
                <w:rFonts w:ascii="Arial" w:hAnsi="Arial" w:cs="Arial"/>
                <w:b/>
                <w:bCs/>
                <w:sz w:val="24"/>
                <w:szCs w:val="24"/>
              </w:rPr>
            </w:pPr>
          </w:p>
        </w:tc>
        <w:tc>
          <w:tcPr>
            <w:tcW w:w="5760" w:type="dxa"/>
            <w:tcBorders>
              <w:top w:val="single" w:sz="4" w:space="0" w:color="auto"/>
              <w:left w:val="single" w:sz="4" w:space="0" w:color="auto"/>
              <w:bottom w:val="single" w:sz="4" w:space="0" w:color="auto"/>
              <w:right w:val="single" w:sz="4" w:space="0" w:color="auto"/>
            </w:tcBorders>
            <w:vAlign w:val="center"/>
          </w:tcPr>
          <w:p w14:paraId="7FB4E0F7" w14:textId="77777777" w:rsidR="001948C2" w:rsidRPr="006279D7" w:rsidRDefault="001948C2" w:rsidP="001948C2">
            <w:pPr>
              <w:spacing w:before="40"/>
              <w:rPr>
                <w:rFonts w:ascii="Arial" w:hAnsi="Arial" w:cs="Arial"/>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59276AAD" w14:textId="77777777" w:rsidR="001948C2" w:rsidRDefault="001948C2" w:rsidP="001948C2">
            <w:pPr>
              <w:spacing w:before="40"/>
              <w:jc w:val="center"/>
            </w:pPr>
          </w:p>
        </w:tc>
      </w:tr>
      <w:tr w:rsidR="001948C2" w:rsidRPr="00605EB5" w14:paraId="4DB02E22" w14:textId="77777777" w:rsidTr="00B80367">
        <w:trPr>
          <w:cantSplit/>
        </w:trPr>
        <w:tc>
          <w:tcPr>
            <w:tcW w:w="2250" w:type="dxa"/>
            <w:tcBorders>
              <w:top w:val="single" w:sz="4" w:space="0" w:color="auto"/>
              <w:left w:val="single" w:sz="4" w:space="0" w:color="auto"/>
              <w:bottom w:val="single" w:sz="4" w:space="0" w:color="auto"/>
              <w:right w:val="single" w:sz="4" w:space="0" w:color="auto"/>
            </w:tcBorders>
          </w:tcPr>
          <w:p w14:paraId="607CB5C4" w14:textId="17E3E6C3" w:rsidR="001948C2" w:rsidRDefault="001948C2" w:rsidP="001948C2">
            <w:pPr>
              <w:spacing w:before="40"/>
              <w:rPr>
                <w:rFonts w:ascii="Arial" w:hAnsi="Arial" w:cs="Arial"/>
                <w:b/>
                <w:bCs/>
                <w:sz w:val="24"/>
                <w:szCs w:val="24"/>
              </w:rPr>
            </w:pPr>
          </w:p>
        </w:tc>
        <w:tc>
          <w:tcPr>
            <w:tcW w:w="5760" w:type="dxa"/>
            <w:tcBorders>
              <w:top w:val="single" w:sz="4" w:space="0" w:color="auto"/>
              <w:left w:val="single" w:sz="4" w:space="0" w:color="auto"/>
              <w:bottom w:val="single" w:sz="4" w:space="0" w:color="auto"/>
              <w:right w:val="single" w:sz="4" w:space="0" w:color="auto"/>
            </w:tcBorders>
            <w:vAlign w:val="center"/>
          </w:tcPr>
          <w:p w14:paraId="2B561458" w14:textId="6D37FCA3" w:rsidR="001948C2" w:rsidRPr="00736E24" w:rsidRDefault="001948C2" w:rsidP="001948C2">
            <w:pPr>
              <w:spacing w:before="40"/>
              <w:rPr>
                <w:rFonts w:ascii="Arial" w:hAnsi="Arial" w:cs="Arial"/>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20573C47" w14:textId="32908480" w:rsidR="001948C2" w:rsidRPr="00736E24" w:rsidRDefault="001948C2" w:rsidP="001948C2">
            <w:pPr>
              <w:spacing w:before="40"/>
              <w:jc w:val="center"/>
              <w:rPr>
                <w:rFonts w:ascii="Arial" w:hAnsi="Arial" w:cs="Arial"/>
                <w:sz w:val="24"/>
                <w:szCs w:val="24"/>
              </w:rPr>
            </w:pPr>
          </w:p>
        </w:tc>
      </w:tr>
      <w:tr w:rsidR="001948C2" w:rsidRPr="00605EB5" w14:paraId="58605E72" w14:textId="77777777" w:rsidTr="00B80367">
        <w:trPr>
          <w:cantSplit/>
        </w:trPr>
        <w:tc>
          <w:tcPr>
            <w:tcW w:w="2250" w:type="dxa"/>
            <w:tcBorders>
              <w:top w:val="single" w:sz="4" w:space="0" w:color="auto"/>
              <w:left w:val="single" w:sz="4" w:space="0" w:color="auto"/>
              <w:bottom w:val="single" w:sz="4" w:space="0" w:color="auto"/>
              <w:right w:val="single" w:sz="4" w:space="0" w:color="auto"/>
            </w:tcBorders>
          </w:tcPr>
          <w:p w14:paraId="17127368" w14:textId="1D188FE6" w:rsidR="001948C2" w:rsidRDefault="001948C2" w:rsidP="001948C2">
            <w:pPr>
              <w:spacing w:before="40"/>
              <w:rPr>
                <w:rFonts w:ascii="Arial" w:hAnsi="Arial" w:cs="Arial"/>
                <w:b/>
                <w:bCs/>
                <w:sz w:val="24"/>
                <w:szCs w:val="24"/>
              </w:rPr>
            </w:pPr>
          </w:p>
        </w:tc>
        <w:tc>
          <w:tcPr>
            <w:tcW w:w="5760" w:type="dxa"/>
            <w:tcBorders>
              <w:top w:val="single" w:sz="4" w:space="0" w:color="auto"/>
              <w:left w:val="single" w:sz="4" w:space="0" w:color="auto"/>
              <w:bottom w:val="single" w:sz="4" w:space="0" w:color="auto"/>
              <w:right w:val="single" w:sz="4" w:space="0" w:color="auto"/>
            </w:tcBorders>
            <w:vAlign w:val="center"/>
          </w:tcPr>
          <w:p w14:paraId="39E218A6" w14:textId="77777777" w:rsidR="001948C2" w:rsidRPr="00955198" w:rsidRDefault="001948C2" w:rsidP="001948C2">
            <w:pPr>
              <w:spacing w:before="40"/>
              <w:rPr>
                <w:rFonts w:ascii="Arial" w:hAnsi="Arial" w:cs="Arial"/>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31D8772A" w14:textId="77777777" w:rsidR="001948C2" w:rsidRPr="00605EB5" w:rsidRDefault="001948C2" w:rsidP="001948C2">
            <w:pPr>
              <w:spacing w:before="40"/>
              <w:jc w:val="center"/>
              <w:rPr>
                <w:rFonts w:ascii="Arial" w:hAnsi="Arial" w:cs="Arial"/>
                <w:sz w:val="24"/>
                <w:szCs w:val="24"/>
              </w:rPr>
            </w:pPr>
          </w:p>
        </w:tc>
      </w:tr>
      <w:tr w:rsidR="001948C2" w:rsidRPr="00605EB5" w14:paraId="6E8585BA" w14:textId="77777777" w:rsidTr="00B80367">
        <w:trPr>
          <w:cantSplit/>
        </w:trPr>
        <w:tc>
          <w:tcPr>
            <w:tcW w:w="2250" w:type="dxa"/>
            <w:tcBorders>
              <w:top w:val="single" w:sz="4" w:space="0" w:color="auto"/>
              <w:left w:val="single" w:sz="4" w:space="0" w:color="auto"/>
              <w:bottom w:val="single" w:sz="4" w:space="0" w:color="auto"/>
              <w:right w:val="single" w:sz="4" w:space="0" w:color="auto"/>
            </w:tcBorders>
          </w:tcPr>
          <w:p w14:paraId="5C462D87" w14:textId="59D42194" w:rsidR="001948C2" w:rsidRDefault="001948C2" w:rsidP="001948C2">
            <w:pPr>
              <w:spacing w:before="40"/>
              <w:rPr>
                <w:rFonts w:ascii="Arial" w:hAnsi="Arial" w:cs="Arial"/>
                <w:b/>
                <w:bCs/>
                <w:sz w:val="24"/>
                <w:szCs w:val="24"/>
              </w:rPr>
            </w:pPr>
          </w:p>
        </w:tc>
        <w:tc>
          <w:tcPr>
            <w:tcW w:w="5760" w:type="dxa"/>
            <w:tcBorders>
              <w:top w:val="single" w:sz="4" w:space="0" w:color="auto"/>
              <w:left w:val="single" w:sz="4" w:space="0" w:color="auto"/>
              <w:bottom w:val="single" w:sz="4" w:space="0" w:color="auto"/>
              <w:right w:val="single" w:sz="4" w:space="0" w:color="auto"/>
            </w:tcBorders>
            <w:vAlign w:val="center"/>
          </w:tcPr>
          <w:p w14:paraId="0B4D75D4" w14:textId="270083FC" w:rsidR="001948C2" w:rsidRPr="00955198" w:rsidRDefault="001948C2" w:rsidP="001948C2">
            <w:pPr>
              <w:spacing w:before="40"/>
              <w:rPr>
                <w:rFonts w:ascii="Arial" w:hAnsi="Arial" w:cs="Arial"/>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35ADFB11" w14:textId="525521DA" w:rsidR="001948C2" w:rsidRPr="00605EB5" w:rsidRDefault="001948C2" w:rsidP="001948C2">
            <w:pPr>
              <w:spacing w:before="40"/>
              <w:jc w:val="center"/>
              <w:rPr>
                <w:rFonts w:ascii="Arial" w:hAnsi="Arial" w:cs="Arial"/>
                <w:sz w:val="24"/>
                <w:szCs w:val="24"/>
              </w:rPr>
            </w:pPr>
          </w:p>
        </w:tc>
      </w:tr>
      <w:tr w:rsidR="001948C2" w:rsidRPr="007C5562" w14:paraId="520D897D" w14:textId="77777777" w:rsidTr="00914DAB">
        <w:trPr>
          <w:cantSplit/>
        </w:trPr>
        <w:tc>
          <w:tcPr>
            <w:tcW w:w="2250" w:type="dxa"/>
            <w:tcBorders>
              <w:top w:val="single" w:sz="4" w:space="0" w:color="auto"/>
              <w:left w:val="single" w:sz="4" w:space="0" w:color="auto"/>
              <w:bottom w:val="single" w:sz="4" w:space="0" w:color="auto"/>
              <w:right w:val="single" w:sz="4" w:space="0" w:color="auto"/>
            </w:tcBorders>
          </w:tcPr>
          <w:p w14:paraId="08651D07" w14:textId="3A190C19" w:rsidR="001948C2" w:rsidRPr="001F7D9B" w:rsidRDefault="001948C2" w:rsidP="001948C2">
            <w:pPr>
              <w:spacing w:before="40"/>
              <w:rPr>
                <w:rFonts w:ascii="Arial" w:hAnsi="Arial" w:cs="Arial"/>
                <w:b/>
                <w:bCs/>
                <w:sz w:val="24"/>
                <w:szCs w:val="24"/>
              </w:rPr>
            </w:pPr>
          </w:p>
        </w:tc>
        <w:tc>
          <w:tcPr>
            <w:tcW w:w="5760" w:type="dxa"/>
            <w:tcBorders>
              <w:top w:val="single" w:sz="4" w:space="0" w:color="auto"/>
              <w:left w:val="single" w:sz="4" w:space="0" w:color="auto"/>
              <w:bottom w:val="single" w:sz="4" w:space="0" w:color="auto"/>
              <w:right w:val="single" w:sz="4" w:space="0" w:color="auto"/>
            </w:tcBorders>
          </w:tcPr>
          <w:p w14:paraId="2A1749EB" w14:textId="77777777" w:rsidR="001948C2" w:rsidRPr="001F7D9B" w:rsidRDefault="001948C2" w:rsidP="001948C2">
            <w:pPr>
              <w:spacing w:before="40"/>
              <w:rPr>
                <w:rFonts w:ascii="Arial" w:hAnsi="Arial" w:cs="Arial"/>
                <w:b/>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5A7B94EF" w14:textId="77777777" w:rsidR="001948C2" w:rsidRPr="001F7D9B" w:rsidRDefault="001948C2" w:rsidP="001948C2">
            <w:pPr>
              <w:spacing w:before="40"/>
              <w:jc w:val="center"/>
              <w:rPr>
                <w:rFonts w:ascii="Arial" w:hAnsi="Arial" w:cs="Arial"/>
                <w:sz w:val="24"/>
                <w:szCs w:val="24"/>
              </w:rPr>
            </w:pPr>
          </w:p>
        </w:tc>
      </w:tr>
      <w:tr w:rsidR="001948C2" w:rsidRPr="007C5562" w14:paraId="49F605A3" w14:textId="77777777" w:rsidTr="00914DAB">
        <w:trPr>
          <w:cantSplit/>
        </w:trPr>
        <w:tc>
          <w:tcPr>
            <w:tcW w:w="2250" w:type="dxa"/>
            <w:tcBorders>
              <w:top w:val="single" w:sz="4" w:space="0" w:color="auto"/>
              <w:left w:val="single" w:sz="4" w:space="0" w:color="auto"/>
              <w:bottom w:val="single" w:sz="4" w:space="0" w:color="auto"/>
              <w:right w:val="single" w:sz="4" w:space="0" w:color="auto"/>
            </w:tcBorders>
          </w:tcPr>
          <w:p w14:paraId="36882978" w14:textId="5DD3BEFA" w:rsidR="001948C2" w:rsidRPr="009629D6" w:rsidRDefault="001948C2" w:rsidP="001948C2">
            <w:pPr>
              <w:spacing w:before="40"/>
              <w:rPr>
                <w:rFonts w:ascii="Arial" w:hAnsi="Arial" w:cs="Arial"/>
                <w:b/>
                <w:bCs/>
                <w:sz w:val="24"/>
                <w:szCs w:val="24"/>
              </w:rPr>
            </w:pPr>
          </w:p>
        </w:tc>
        <w:tc>
          <w:tcPr>
            <w:tcW w:w="5760" w:type="dxa"/>
            <w:tcBorders>
              <w:top w:val="single" w:sz="4" w:space="0" w:color="auto"/>
              <w:left w:val="single" w:sz="4" w:space="0" w:color="auto"/>
              <w:bottom w:val="single" w:sz="4" w:space="0" w:color="auto"/>
              <w:right w:val="single" w:sz="4" w:space="0" w:color="auto"/>
            </w:tcBorders>
          </w:tcPr>
          <w:p w14:paraId="20ABC00C" w14:textId="7605F6A3" w:rsidR="001948C2" w:rsidRPr="009629D6" w:rsidRDefault="001948C2" w:rsidP="001948C2">
            <w:pPr>
              <w:spacing w:before="40"/>
              <w:rPr>
                <w:rFonts w:ascii="Arial" w:hAnsi="Arial" w:cs="Arial"/>
                <w:b/>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77F34048" w14:textId="6DF1F30C" w:rsidR="001948C2" w:rsidRPr="009629D6" w:rsidRDefault="001948C2" w:rsidP="001948C2">
            <w:pPr>
              <w:spacing w:before="40"/>
              <w:jc w:val="center"/>
              <w:rPr>
                <w:rFonts w:ascii="Arial" w:hAnsi="Arial" w:cs="Arial"/>
                <w:sz w:val="24"/>
                <w:szCs w:val="24"/>
              </w:rPr>
            </w:pPr>
          </w:p>
        </w:tc>
      </w:tr>
      <w:tr w:rsidR="001948C2" w:rsidRPr="007C5562" w14:paraId="41303C77" w14:textId="77777777" w:rsidTr="00914DAB">
        <w:trPr>
          <w:cantSplit/>
        </w:trPr>
        <w:tc>
          <w:tcPr>
            <w:tcW w:w="2250" w:type="dxa"/>
            <w:tcBorders>
              <w:top w:val="single" w:sz="4" w:space="0" w:color="auto"/>
              <w:left w:val="single" w:sz="4" w:space="0" w:color="auto"/>
              <w:bottom w:val="single" w:sz="4" w:space="0" w:color="auto"/>
              <w:right w:val="single" w:sz="4" w:space="0" w:color="auto"/>
            </w:tcBorders>
          </w:tcPr>
          <w:p w14:paraId="68FB382C" w14:textId="1F526F17" w:rsidR="001948C2" w:rsidRDefault="001948C2" w:rsidP="001948C2">
            <w:pPr>
              <w:spacing w:before="40"/>
              <w:rPr>
                <w:rFonts w:ascii="Arial" w:hAnsi="Arial" w:cs="Arial"/>
                <w:b/>
                <w:bCs/>
                <w:sz w:val="24"/>
                <w:szCs w:val="24"/>
              </w:rPr>
            </w:pPr>
          </w:p>
        </w:tc>
        <w:tc>
          <w:tcPr>
            <w:tcW w:w="5760" w:type="dxa"/>
            <w:tcBorders>
              <w:top w:val="single" w:sz="4" w:space="0" w:color="auto"/>
              <w:left w:val="single" w:sz="4" w:space="0" w:color="auto"/>
              <w:bottom w:val="single" w:sz="4" w:space="0" w:color="auto"/>
              <w:right w:val="single" w:sz="4" w:space="0" w:color="auto"/>
            </w:tcBorders>
          </w:tcPr>
          <w:p w14:paraId="08A6EC25" w14:textId="77777777" w:rsidR="001948C2" w:rsidRPr="009629D6" w:rsidRDefault="001948C2" w:rsidP="001948C2">
            <w:pPr>
              <w:spacing w:before="40"/>
              <w:rPr>
                <w:rFonts w:ascii="Arial" w:hAnsi="Arial" w:cs="Arial"/>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06BDFA19" w14:textId="77777777" w:rsidR="001948C2" w:rsidRDefault="001948C2" w:rsidP="001948C2">
            <w:pPr>
              <w:spacing w:before="40"/>
              <w:jc w:val="center"/>
            </w:pPr>
          </w:p>
        </w:tc>
      </w:tr>
      <w:tr w:rsidR="001948C2" w:rsidRPr="007C5562" w14:paraId="2291D1F6" w14:textId="77777777" w:rsidTr="00914DAB">
        <w:trPr>
          <w:cantSplit/>
        </w:trPr>
        <w:tc>
          <w:tcPr>
            <w:tcW w:w="2250" w:type="dxa"/>
            <w:tcBorders>
              <w:top w:val="single" w:sz="4" w:space="0" w:color="auto"/>
              <w:left w:val="single" w:sz="4" w:space="0" w:color="auto"/>
              <w:bottom w:val="single" w:sz="4" w:space="0" w:color="auto"/>
              <w:right w:val="single" w:sz="4" w:space="0" w:color="auto"/>
            </w:tcBorders>
          </w:tcPr>
          <w:p w14:paraId="39D9D477" w14:textId="52F61700" w:rsidR="001948C2" w:rsidRDefault="001948C2" w:rsidP="001948C2">
            <w:pPr>
              <w:spacing w:before="40"/>
              <w:rPr>
                <w:rFonts w:ascii="Arial" w:hAnsi="Arial" w:cs="Arial"/>
                <w:b/>
                <w:bCs/>
                <w:sz w:val="24"/>
                <w:szCs w:val="24"/>
              </w:rPr>
            </w:pPr>
          </w:p>
        </w:tc>
        <w:tc>
          <w:tcPr>
            <w:tcW w:w="5760" w:type="dxa"/>
            <w:tcBorders>
              <w:top w:val="single" w:sz="4" w:space="0" w:color="auto"/>
              <w:left w:val="single" w:sz="4" w:space="0" w:color="auto"/>
              <w:bottom w:val="single" w:sz="4" w:space="0" w:color="auto"/>
              <w:right w:val="single" w:sz="4" w:space="0" w:color="auto"/>
            </w:tcBorders>
          </w:tcPr>
          <w:p w14:paraId="74B8A162" w14:textId="1A3734ED" w:rsidR="001948C2" w:rsidRPr="00B527C6" w:rsidRDefault="001948C2" w:rsidP="001948C2">
            <w:pPr>
              <w:rPr>
                <w:rFonts w:ascii="Arial" w:hAnsi="Arial" w:cs="Arial"/>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6A1429BB" w14:textId="387C78E8" w:rsidR="001948C2" w:rsidRPr="00EB360A" w:rsidRDefault="001948C2" w:rsidP="001948C2">
            <w:pPr>
              <w:spacing w:before="40"/>
              <w:jc w:val="center"/>
              <w:rPr>
                <w:rFonts w:ascii="Arial" w:hAnsi="Arial" w:cs="Arial"/>
                <w:sz w:val="24"/>
                <w:szCs w:val="24"/>
              </w:rPr>
            </w:pPr>
          </w:p>
        </w:tc>
      </w:tr>
      <w:tr w:rsidR="001948C2" w:rsidRPr="007C5562" w14:paraId="11DC66C2" w14:textId="77777777" w:rsidTr="00914DAB">
        <w:trPr>
          <w:cantSplit/>
        </w:trPr>
        <w:tc>
          <w:tcPr>
            <w:tcW w:w="2250" w:type="dxa"/>
            <w:tcBorders>
              <w:top w:val="single" w:sz="4" w:space="0" w:color="auto"/>
              <w:left w:val="single" w:sz="4" w:space="0" w:color="auto"/>
              <w:bottom w:val="single" w:sz="4" w:space="0" w:color="auto"/>
              <w:right w:val="single" w:sz="4" w:space="0" w:color="auto"/>
            </w:tcBorders>
          </w:tcPr>
          <w:p w14:paraId="3BA0B0FB" w14:textId="45DD4FF7" w:rsidR="001948C2" w:rsidRPr="009629D6" w:rsidRDefault="001948C2" w:rsidP="001948C2">
            <w:pPr>
              <w:spacing w:before="40"/>
              <w:rPr>
                <w:rFonts w:ascii="Arial" w:hAnsi="Arial" w:cs="Arial"/>
                <w:b/>
                <w:bCs/>
                <w:sz w:val="24"/>
                <w:szCs w:val="24"/>
              </w:rPr>
            </w:pPr>
          </w:p>
        </w:tc>
        <w:tc>
          <w:tcPr>
            <w:tcW w:w="5760" w:type="dxa"/>
            <w:tcBorders>
              <w:top w:val="single" w:sz="4" w:space="0" w:color="auto"/>
              <w:left w:val="single" w:sz="4" w:space="0" w:color="auto"/>
              <w:bottom w:val="single" w:sz="4" w:space="0" w:color="auto"/>
              <w:right w:val="single" w:sz="4" w:space="0" w:color="auto"/>
            </w:tcBorders>
          </w:tcPr>
          <w:p w14:paraId="1EB2600F" w14:textId="77777777" w:rsidR="001948C2" w:rsidRPr="009629D6" w:rsidRDefault="001948C2" w:rsidP="001948C2">
            <w:pPr>
              <w:spacing w:before="40"/>
              <w:rPr>
                <w:rFonts w:ascii="Arial" w:hAnsi="Arial" w:cs="Arial"/>
                <w:b/>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3C1BCEE1" w14:textId="77777777" w:rsidR="001948C2" w:rsidRPr="009629D6" w:rsidRDefault="001948C2" w:rsidP="001948C2">
            <w:pPr>
              <w:spacing w:before="40"/>
              <w:jc w:val="center"/>
              <w:rPr>
                <w:rFonts w:ascii="Arial" w:hAnsi="Arial" w:cs="Arial"/>
                <w:sz w:val="24"/>
                <w:szCs w:val="24"/>
              </w:rPr>
            </w:pPr>
          </w:p>
        </w:tc>
      </w:tr>
      <w:tr w:rsidR="001948C2" w:rsidRPr="007C5562" w14:paraId="51BE305E" w14:textId="77777777" w:rsidTr="00914DAB">
        <w:trPr>
          <w:cantSplit/>
        </w:trPr>
        <w:tc>
          <w:tcPr>
            <w:tcW w:w="2250" w:type="dxa"/>
            <w:tcBorders>
              <w:top w:val="single" w:sz="4" w:space="0" w:color="auto"/>
              <w:left w:val="single" w:sz="4" w:space="0" w:color="auto"/>
              <w:bottom w:val="single" w:sz="4" w:space="0" w:color="auto"/>
              <w:right w:val="single" w:sz="4" w:space="0" w:color="auto"/>
            </w:tcBorders>
          </w:tcPr>
          <w:p w14:paraId="0BF7232F" w14:textId="4FE5A533" w:rsidR="001948C2" w:rsidRPr="009629D6" w:rsidRDefault="001948C2" w:rsidP="001948C2">
            <w:pPr>
              <w:spacing w:before="40"/>
              <w:rPr>
                <w:rFonts w:ascii="Arial" w:hAnsi="Arial" w:cs="Arial"/>
                <w:b/>
                <w:bCs/>
                <w:sz w:val="24"/>
                <w:szCs w:val="24"/>
              </w:rPr>
            </w:pPr>
          </w:p>
        </w:tc>
        <w:tc>
          <w:tcPr>
            <w:tcW w:w="5760" w:type="dxa"/>
            <w:tcBorders>
              <w:top w:val="single" w:sz="4" w:space="0" w:color="auto"/>
              <w:left w:val="single" w:sz="4" w:space="0" w:color="auto"/>
              <w:bottom w:val="single" w:sz="4" w:space="0" w:color="auto"/>
              <w:right w:val="single" w:sz="4" w:space="0" w:color="auto"/>
            </w:tcBorders>
          </w:tcPr>
          <w:p w14:paraId="230D8417" w14:textId="0F80811B" w:rsidR="001948C2" w:rsidRPr="004E1810" w:rsidRDefault="001948C2" w:rsidP="001948C2">
            <w:pPr>
              <w:spacing w:before="40"/>
              <w:rPr>
                <w:rFonts w:ascii="Arial" w:hAnsi="Arial" w:cs="Arial"/>
                <w:b/>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58911ACE" w14:textId="56517EF6" w:rsidR="001948C2" w:rsidRPr="009629D6" w:rsidRDefault="001948C2" w:rsidP="001948C2">
            <w:pPr>
              <w:spacing w:before="40"/>
              <w:jc w:val="center"/>
              <w:rPr>
                <w:rFonts w:ascii="Arial" w:hAnsi="Arial" w:cs="Arial"/>
                <w:sz w:val="24"/>
                <w:szCs w:val="24"/>
              </w:rPr>
            </w:pPr>
          </w:p>
        </w:tc>
      </w:tr>
      <w:tr w:rsidR="001948C2" w:rsidRPr="007C5562" w14:paraId="3A168B25" w14:textId="77777777" w:rsidTr="00914DAB">
        <w:trPr>
          <w:cantSplit/>
        </w:trPr>
        <w:tc>
          <w:tcPr>
            <w:tcW w:w="2250" w:type="dxa"/>
            <w:tcBorders>
              <w:top w:val="single" w:sz="4" w:space="0" w:color="auto"/>
              <w:left w:val="single" w:sz="4" w:space="0" w:color="auto"/>
              <w:bottom w:val="single" w:sz="4" w:space="0" w:color="auto"/>
              <w:right w:val="single" w:sz="4" w:space="0" w:color="auto"/>
            </w:tcBorders>
          </w:tcPr>
          <w:p w14:paraId="19BF1BD2" w14:textId="77777777" w:rsidR="001948C2" w:rsidRPr="009629D6" w:rsidRDefault="001948C2" w:rsidP="001948C2">
            <w:pPr>
              <w:spacing w:before="40"/>
              <w:rPr>
                <w:rFonts w:ascii="Arial" w:hAnsi="Arial" w:cs="Arial"/>
                <w:b/>
                <w:bCs/>
                <w:sz w:val="24"/>
                <w:szCs w:val="24"/>
              </w:rPr>
            </w:pPr>
          </w:p>
        </w:tc>
        <w:tc>
          <w:tcPr>
            <w:tcW w:w="5760" w:type="dxa"/>
            <w:tcBorders>
              <w:top w:val="single" w:sz="4" w:space="0" w:color="auto"/>
              <w:left w:val="single" w:sz="4" w:space="0" w:color="auto"/>
              <w:bottom w:val="single" w:sz="4" w:space="0" w:color="auto"/>
              <w:right w:val="single" w:sz="4" w:space="0" w:color="auto"/>
            </w:tcBorders>
          </w:tcPr>
          <w:p w14:paraId="539B015C" w14:textId="77777777" w:rsidR="001948C2" w:rsidRPr="009629D6" w:rsidRDefault="001948C2" w:rsidP="001948C2">
            <w:pPr>
              <w:spacing w:before="40"/>
              <w:rPr>
                <w:rFonts w:ascii="Arial" w:hAnsi="Arial" w:cs="Arial"/>
                <w:b/>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7C8FF77E" w14:textId="77777777" w:rsidR="001948C2" w:rsidRPr="009629D6" w:rsidRDefault="001948C2" w:rsidP="001948C2">
            <w:pPr>
              <w:spacing w:before="40"/>
              <w:jc w:val="center"/>
              <w:rPr>
                <w:rFonts w:ascii="Arial" w:hAnsi="Arial" w:cs="Arial"/>
                <w:sz w:val="24"/>
                <w:szCs w:val="24"/>
              </w:rPr>
            </w:pPr>
          </w:p>
        </w:tc>
      </w:tr>
    </w:tbl>
    <w:p w14:paraId="587F133D" w14:textId="77777777" w:rsidR="004B6376" w:rsidRDefault="004B6376"/>
    <w:sectPr w:rsidR="004B63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7514E"/>
    <w:multiLevelType w:val="hybridMultilevel"/>
    <w:tmpl w:val="25BC0B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670736"/>
    <w:multiLevelType w:val="hybridMultilevel"/>
    <w:tmpl w:val="9760E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D46EEB"/>
    <w:multiLevelType w:val="hybridMultilevel"/>
    <w:tmpl w:val="8CE26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9B3301"/>
    <w:multiLevelType w:val="hybridMultilevel"/>
    <w:tmpl w:val="899A75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E170982"/>
    <w:multiLevelType w:val="hybridMultilevel"/>
    <w:tmpl w:val="0406C51A"/>
    <w:lvl w:ilvl="0" w:tplc="04090001">
      <w:start w:val="1"/>
      <w:numFmt w:val="bullet"/>
      <w:lvlText w:val=""/>
      <w:lvlJc w:val="left"/>
      <w:pPr>
        <w:ind w:left="867" w:hanging="360"/>
      </w:pPr>
      <w:rPr>
        <w:rFonts w:ascii="Symbol" w:hAnsi="Symbol" w:hint="default"/>
      </w:rPr>
    </w:lvl>
    <w:lvl w:ilvl="1" w:tplc="04090003" w:tentative="1">
      <w:start w:val="1"/>
      <w:numFmt w:val="bullet"/>
      <w:lvlText w:val="o"/>
      <w:lvlJc w:val="left"/>
      <w:pPr>
        <w:ind w:left="1587" w:hanging="360"/>
      </w:pPr>
      <w:rPr>
        <w:rFonts w:ascii="Courier New" w:hAnsi="Courier New" w:cs="Courier New" w:hint="default"/>
      </w:rPr>
    </w:lvl>
    <w:lvl w:ilvl="2" w:tplc="04090005" w:tentative="1">
      <w:start w:val="1"/>
      <w:numFmt w:val="bullet"/>
      <w:lvlText w:val=""/>
      <w:lvlJc w:val="left"/>
      <w:pPr>
        <w:ind w:left="2307" w:hanging="360"/>
      </w:pPr>
      <w:rPr>
        <w:rFonts w:ascii="Wingdings" w:hAnsi="Wingdings" w:hint="default"/>
      </w:rPr>
    </w:lvl>
    <w:lvl w:ilvl="3" w:tplc="04090001" w:tentative="1">
      <w:start w:val="1"/>
      <w:numFmt w:val="bullet"/>
      <w:lvlText w:val=""/>
      <w:lvlJc w:val="left"/>
      <w:pPr>
        <w:ind w:left="3027" w:hanging="360"/>
      </w:pPr>
      <w:rPr>
        <w:rFonts w:ascii="Symbol" w:hAnsi="Symbol" w:hint="default"/>
      </w:rPr>
    </w:lvl>
    <w:lvl w:ilvl="4" w:tplc="04090003" w:tentative="1">
      <w:start w:val="1"/>
      <w:numFmt w:val="bullet"/>
      <w:lvlText w:val="o"/>
      <w:lvlJc w:val="left"/>
      <w:pPr>
        <w:ind w:left="3747" w:hanging="360"/>
      </w:pPr>
      <w:rPr>
        <w:rFonts w:ascii="Courier New" w:hAnsi="Courier New" w:cs="Courier New" w:hint="default"/>
      </w:rPr>
    </w:lvl>
    <w:lvl w:ilvl="5" w:tplc="04090005" w:tentative="1">
      <w:start w:val="1"/>
      <w:numFmt w:val="bullet"/>
      <w:lvlText w:val=""/>
      <w:lvlJc w:val="left"/>
      <w:pPr>
        <w:ind w:left="4467" w:hanging="360"/>
      </w:pPr>
      <w:rPr>
        <w:rFonts w:ascii="Wingdings" w:hAnsi="Wingdings" w:hint="default"/>
      </w:rPr>
    </w:lvl>
    <w:lvl w:ilvl="6" w:tplc="04090001" w:tentative="1">
      <w:start w:val="1"/>
      <w:numFmt w:val="bullet"/>
      <w:lvlText w:val=""/>
      <w:lvlJc w:val="left"/>
      <w:pPr>
        <w:ind w:left="5187" w:hanging="360"/>
      </w:pPr>
      <w:rPr>
        <w:rFonts w:ascii="Symbol" w:hAnsi="Symbol" w:hint="default"/>
      </w:rPr>
    </w:lvl>
    <w:lvl w:ilvl="7" w:tplc="04090003" w:tentative="1">
      <w:start w:val="1"/>
      <w:numFmt w:val="bullet"/>
      <w:lvlText w:val="o"/>
      <w:lvlJc w:val="left"/>
      <w:pPr>
        <w:ind w:left="5907" w:hanging="360"/>
      </w:pPr>
      <w:rPr>
        <w:rFonts w:ascii="Courier New" w:hAnsi="Courier New" w:cs="Courier New" w:hint="default"/>
      </w:rPr>
    </w:lvl>
    <w:lvl w:ilvl="8" w:tplc="04090005" w:tentative="1">
      <w:start w:val="1"/>
      <w:numFmt w:val="bullet"/>
      <w:lvlText w:val=""/>
      <w:lvlJc w:val="left"/>
      <w:pPr>
        <w:ind w:left="6627" w:hanging="360"/>
      </w:pPr>
      <w:rPr>
        <w:rFonts w:ascii="Wingdings" w:hAnsi="Wingdings" w:hint="default"/>
      </w:rPr>
    </w:lvl>
  </w:abstractNum>
  <w:abstractNum w:abstractNumId="5" w15:restartNumberingAfterBreak="0">
    <w:nsid w:val="34BA7D39"/>
    <w:multiLevelType w:val="hybridMultilevel"/>
    <w:tmpl w:val="8B28F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D33FEF"/>
    <w:multiLevelType w:val="hybridMultilevel"/>
    <w:tmpl w:val="8FD6B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72552DC"/>
    <w:multiLevelType w:val="hybridMultilevel"/>
    <w:tmpl w:val="1054E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83C1CA2"/>
    <w:multiLevelType w:val="hybridMultilevel"/>
    <w:tmpl w:val="630AF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192914"/>
    <w:multiLevelType w:val="hybridMultilevel"/>
    <w:tmpl w:val="30327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2"/>
  </w:num>
  <w:num w:numId="4">
    <w:abstractNumId w:val="6"/>
  </w:num>
  <w:num w:numId="5">
    <w:abstractNumId w:val="7"/>
  </w:num>
  <w:num w:numId="6">
    <w:abstractNumId w:val="5"/>
  </w:num>
  <w:num w:numId="7">
    <w:abstractNumId w:val="4"/>
  </w:num>
  <w:num w:numId="8">
    <w:abstractNumId w:val="3"/>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376"/>
    <w:rsid w:val="00006BD9"/>
    <w:rsid w:val="00011FF9"/>
    <w:rsid w:val="000205B8"/>
    <w:rsid w:val="00020874"/>
    <w:rsid w:val="00030E71"/>
    <w:rsid w:val="0003578C"/>
    <w:rsid w:val="00060012"/>
    <w:rsid w:val="00080BF5"/>
    <w:rsid w:val="00082578"/>
    <w:rsid w:val="000A2EB0"/>
    <w:rsid w:val="000C256D"/>
    <w:rsid w:val="000D51FB"/>
    <w:rsid w:val="000D5595"/>
    <w:rsid w:val="000E00CD"/>
    <w:rsid w:val="00112735"/>
    <w:rsid w:val="001651CB"/>
    <w:rsid w:val="0017093A"/>
    <w:rsid w:val="00172EEF"/>
    <w:rsid w:val="0017321D"/>
    <w:rsid w:val="00175A89"/>
    <w:rsid w:val="00191AE9"/>
    <w:rsid w:val="001931E2"/>
    <w:rsid w:val="001948C2"/>
    <w:rsid w:val="001D15E1"/>
    <w:rsid w:val="001D3C7F"/>
    <w:rsid w:val="001F7D9B"/>
    <w:rsid w:val="002075C6"/>
    <w:rsid w:val="0024394F"/>
    <w:rsid w:val="00247000"/>
    <w:rsid w:val="00251B63"/>
    <w:rsid w:val="00251B68"/>
    <w:rsid w:val="00257A96"/>
    <w:rsid w:val="00265604"/>
    <w:rsid w:val="0027018B"/>
    <w:rsid w:val="00272265"/>
    <w:rsid w:val="00283498"/>
    <w:rsid w:val="0028602D"/>
    <w:rsid w:val="002B072F"/>
    <w:rsid w:val="002C7FBF"/>
    <w:rsid w:val="002D746D"/>
    <w:rsid w:val="002E4420"/>
    <w:rsid w:val="0030071C"/>
    <w:rsid w:val="0032124E"/>
    <w:rsid w:val="003342CD"/>
    <w:rsid w:val="003442C6"/>
    <w:rsid w:val="00352C5E"/>
    <w:rsid w:val="00362A0D"/>
    <w:rsid w:val="0036639E"/>
    <w:rsid w:val="003735A9"/>
    <w:rsid w:val="00384BAF"/>
    <w:rsid w:val="00384FA5"/>
    <w:rsid w:val="00385C17"/>
    <w:rsid w:val="00386039"/>
    <w:rsid w:val="0039074B"/>
    <w:rsid w:val="00390953"/>
    <w:rsid w:val="00395A21"/>
    <w:rsid w:val="003B213B"/>
    <w:rsid w:val="003C0D7B"/>
    <w:rsid w:val="003D28B9"/>
    <w:rsid w:val="003D704A"/>
    <w:rsid w:val="003F64F2"/>
    <w:rsid w:val="00412ED4"/>
    <w:rsid w:val="00420746"/>
    <w:rsid w:val="00426E64"/>
    <w:rsid w:val="00427594"/>
    <w:rsid w:val="00445ABB"/>
    <w:rsid w:val="00461BCE"/>
    <w:rsid w:val="0046645A"/>
    <w:rsid w:val="00484A1A"/>
    <w:rsid w:val="004931B6"/>
    <w:rsid w:val="004A18D3"/>
    <w:rsid w:val="004B3099"/>
    <w:rsid w:val="004B6376"/>
    <w:rsid w:val="004D4001"/>
    <w:rsid w:val="004E1810"/>
    <w:rsid w:val="004E23BC"/>
    <w:rsid w:val="005105C0"/>
    <w:rsid w:val="005167C5"/>
    <w:rsid w:val="00520FF0"/>
    <w:rsid w:val="00527451"/>
    <w:rsid w:val="00563392"/>
    <w:rsid w:val="00570CD2"/>
    <w:rsid w:val="00582634"/>
    <w:rsid w:val="005834D3"/>
    <w:rsid w:val="005A1D0C"/>
    <w:rsid w:val="005C010A"/>
    <w:rsid w:val="005C26E8"/>
    <w:rsid w:val="005C7B8B"/>
    <w:rsid w:val="005D60BF"/>
    <w:rsid w:val="005E3A4C"/>
    <w:rsid w:val="005E3E5D"/>
    <w:rsid w:val="005E5199"/>
    <w:rsid w:val="005E7DC2"/>
    <w:rsid w:val="005E7F62"/>
    <w:rsid w:val="005F088B"/>
    <w:rsid w:val="005F193C"/>
    <w:rsid w:val="006000D7"/>
    <w:rsid w:val="00605EB5"/>
    <w:rsid w:val="00612B03"/>
    <w:rsid w:val="0061340D"/>
    <w:rsid w:val="00621A1E"/>
    <w:rsid w:val="006279D7"/>
    <w:rsid w:val="006345F0"/>
    <w:rsid w:val="00640CDF"/>
    <w:rsid w:val="006512C3"/>
    <w:rsid w:val="00654BE1"/>
    <w:rsid w:val="00660128"/>
    <w:rsid w:val="00663648"/>
    <w:rsid w:val="00681888"/>
    <w:rsid w:val="00682668"/>
    <w:rsid w:val="00682877"/>
    <w:rsid w:val="006961B9"/>
    <w:rsid w:val="006B0A6A"/>
    <w:rsid w:val="006B79B7"/>
    <w:rsid w:val="006C15A4"/>
    <w:rsid w:val="006D3352"/>
    <w:rsid w:val="006F1214"/>
    <w:rsid w:val="00700DD3"/>
    <w:rsid w:val="00715156"/>
    <w:rsid w:val="00722EF7"/>
    <w:rsid w:val="00733DE2"/>
    <w:rsid w:val="00736E24"/>
    <w:rsid w:val="00755F97"/>
    <w:rsid w:val="0076102B"/>
    <w:rsid w:val="00772651"/>
    <w:rsid w:val="00777C3F"/>
    <w:rsid w:val="00782E0F"/>
    <w:rsid w:val="0078749E"/>
    <w:rsid w:val="007B49BC"/>
    <w:rsid w:val="007C4ED5"/>
    <w:rsid w:val="007D46FD"/>
    <w:rsid w:val="007E1334"/>
    <w:rsid w:val="007F10F6"/>
    <w:rsid w:val="007F33B8"/>
    <w:rsid w:val="007F7D97"/>
    <w:rsid w:val="00800414"/>
    <w:rsid w:val="008008A0"/>
    <w:rsid w:val="00802BDA"/>
    <w:rsid w:val="008031E1"/>
    <w:rsid w:val="0081269B"/>
    <w:rsid w:val="00836176"/>
    <w:rsid w:val="0084321A"/>
    <w:rsid w:val="00844C93"/>
    <w:rsid w:val="008565D7"/>
    <w:rsid w:val="0087014E"/>
    <w:rsid w:val="00873407"/>
    <w:rsid w:val="0088146E"/>
    <w:rsid w:val="0088217F"/>
    <w:rsid w:val="00896CEF"/>
    <w:rsid w:val="00897225"/>
    <w:rsid w:val="008A08D1"/>
    <w:rsid w:val="008A0B5F"/>
    <w:rsid w:val="008A50FD"/>
    <w:rsid w:val="008D54FB"/>
    <w:rsid w:val="008E12D6"/>
    <w:rsid w:val="008E37A5"/>
    <w:rsid w:val="00902ACE"/>
    <w:rsid w:val="00914DAB"/>
    <w:rsid w:val="0092730D"/>
    <w:rsid w:val="009303FB"/>
    <w:rsid w:val="00942361"/>
    <w:rsid w:val="00955198"/>
    <w:rsid w:val="00956CDC"/>
    <w:rsid w:val="009629D6"/>
    <w:rsid w:val="00964853"/>
    <w:rsid w:val="00965189"/>
    <w:rsid w:val="00971F4D"/>
    <w:rsid w:val="00977D49"/>
    <w:rsid w:val="00993BE4"/>
    <w:rsid w:val="00995046"/>
    <w:rsid w:val="00997872"/>
    <w:rsid w:val="009B42D2"/>
    <w:rsid w:val="009C1C10"/>
    <w:rsid w:val="009C1EBE"/>
    <w:rsid w:val="009D1061"/>
    <w:rsid w:val="009E3F63"/>
    <w:rsid w:val="009F113C"/>
    <w:rsid w:val="00A01F0E"/>
    <w:rsid w:val="00A163BA"/>
    <w:rsid w:val="00A26E00"/>
    <w:rsid w:val="00A32EB1"/>
    <w:rsid w:val="00A4287E"/>
    <w:rsid w:val="00A42FC1"/>
    <w:rsid w:val="00A93122"/>
    <w:rsid w:val="00AB6AB2"/>
    <w:rsid w:val="00AB6B5F"/>
    <w:rsid w:val="00AC57CB"/>
    <w:rsid w:val="00AD653A"/>
    <w:rsid w:val="00B21432"/>
    <w:rsid w:val="00B23AAD"/>
    <w:rsid w:val="00B24F7F"/>
    <w:rsid w:val="00B41492"/>
    <w:rsid w:val="00B44C82"/>
    <w:rsid w:val="00B527C6"/>
    <w:rsid w:val="00B702CF"/>
    <w:rsid w:val="00B82597"/>
    <w:rsid w:val="00B82C29"/>
    <w:rsid w:val="00B83D27"/>
    <w:rsid w:val="00B90A99"/>
    <w:rsid w:val="00B93D0E"/>
    <w:rsid w:val="00B965F9"/>
    <w:rsid w:val="00BA2B88"/>
    <w:rsid w:val="00BA2D21"/>
    <w:rsid w:val="00BA4980"/>
    <w:rsid w:val="00BB2FED"/>
    <w:rsid w:val="00BB7712"/>
    <w:rsid w:val="00BD46D7"/>
    <w:rsid w:val="00C00D3B"/>
    <w:rsid w:val="00C04C8D"/>
    <w:rsid w:val="00C12BA3"/>
    <w:rsid w:val="00C15871"/>
    <w:rsid w:val="00C16AA2"/>
    <w:rsid w:val="00C50F15"/>
    <w:rsid w:val="00C701DA"/>
    <w:rsid w:val="00C70E59"/>
    <w:rsid w:val="00C762AE"/>
    <w:rsid w:val="00C909AC"/>
    <w:rsid w:val="00CC067E"/>
    <w:rsid w:val="00CD0693"/>
    <w:rsid w:val="00CE1D11"/>
    <w:rsid w:val="00CE5F99"/>
    <w:rsid w:val="00CF4CD1"/>
    <w:rsid w:val="00CF7987"/>
    <w:rsid w:val="00CF7B25"/>
    <w:rsid w:val="00D17EF9"/>
    <w:rsid w:val="00D22B55"/>
    <w:rsid w:val="00D22FC8"/>
    <w:rsid w:val="00D309C7"/>
    <w:rsid w:val="00D35BAB"/>
    <w:rsid w:val="00D440B7"/>
    <w:rsid w:val="00D62BB1"/>
    <w:rsid w:val="00D85451"/>
    <w:rsid w:val="00D85F05"/>
    <w:rsid w:val="00D95B7C"/>
    <w:rsid w:val="00DA09A3"/>
    <w:rsid w:val="00DA3255"/>
    <w:rsid w:val="00DA3DD5"/>
    <w:rsid w:val="00DA73FF"/>
    <w:rsid w:val="00DB7636"/>
    <w:rsid w:val="00DE0647"/>
    <w:rsid w:val="00E20F27"/>
    <w:rsid w:val="00E275F6"/>
    <w:rsid w:val="00E315C1"/>
    <w:rsid w:val="00E31A98"/>
    <w:rsid w:val="00E3637D"/>
    <w:rsid w:val="00E4172D"/>
    <w:rsid w:val="00E455D8"/>
    <w:rsid w:val="00E64B76"/>
    <w:rsid w:val="00EA0103"/>
    <w:rsid w:val="00EA1B79"/>
    <w:rsid w:val="00EA61D0"/>
    <w:rsid w:val="00EA726B"/>
    <w:rsid w:val="00EB0FCC"/>
    <w:rsid w:val="00EB360A"/>
    <w:rsid w:val="00EC3905"/>
    <w:rsid w:val="00ED5FBE"/>
    <w:rsid w:val="00ED7B76"/>
    <w:rsid w:val="00EE506F"/>
    <w:rsid w:val="00EF2BF3"/>
    <w:rsid w:val="00F00CFF"/>
    <w:rsid w:val="00F1067C"/>
    <w:rsid w:val="00F26E33"/>
    <w:rsid w:val="00F32450"/>
    <w:rsid w:val="00F6226F"/>
    <w:rsid w:val="00F63572"/>
    <w:rsid w:val="00F7493F"/>
    <w:rsid w:val="00F75EBF"/>
    <w:rsid w:val="00F901D7"/>
    <w:rsid w:val="00FA3C86"/>
    <w:rsid w:val="00FA58B5"/>
    <w:rsid w:val="00FB2656"/>
    <w:rsid w:val="00FC5D8A"/>
    <w:rsid w:val="00FF1F02"/>
    <w:rsid w:val="00FF7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E73BA"/>
  <w15:chartTrackingRefBased/>
  <w15:docId w15:val="{119A3617-72C6-4B10-B44D-E565FD4E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3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B6376"/>
    <w:rPr>
      <w:color w:val="0000FF"/>
      <w:u w:val="single"/>
    </w:rPr>
  </w:style>
  <w:style w:type="character" w:styleId="UnresolvedMention">
    <w:name w:val="Unresolved Mention"/>
    <w:basedOn w:val="DefaultParagraphFont"/>
    <w:uiPriority w:val="99"/>
    <w:semiHidden/>
    <w:unhideWhenUsed/>
    <w:rsid w:val="00C762AE"/>
    <w:rPr>
      <w:color w:val="605E5C"/>
      <w:shd w:val="clear" w:color="auto" w:fill="E1DFDD"/>
    </w:rPr>
  </w:style>
  <w:style w:type="character" w:styleId="CommentReference">
    <w:name w:val="annotation reference"/>
    <w:basedOn w:val="DefaultParagraphFont"/>
    <w:uiPriority w:val="99"/>
    <w:semiHidden/>
    <w:unhideWhenUsed/>
    <w:rsid w:val="002C7FBF"/>
    <w:rPr>
      <w:sz w:val="16"/>
      <w:szCs w:val="16"/>
    </w:rPr>
  </w:style>
  <w:style w:type="paragraph" w:styleId="CommentText">
    <w:name w:val="annotation text"/>
    <w:basedOn w:val="Normal"/>
    <w:link w:val="CommentTextChar"/>
    <w:uiPriority w:val="99"/>
    <w:semiHidden/>
    <w:unhideWhenUsed/>
    <w:rsid w:val="002C7FBF"/>
    <w:pPr>
      <w:spacing w:line="240" w:lineRule="auto"/>
    </w:pPr>
    <w:rPr>
      <w:sz w:val="20"/>
      <w:szCs w:val="20"/>
    </w:rPr>
  </w:style>
  <w:style w:type="character" w:customStyle="1" w:styleId="CommentTextChar">
    <w:name w:val="Comment Text Char"/>
    <w:basedOn w:val="DefaultParagraphFont"/>
    <w:link w:val="CommentText"/>
    <w:uiPriority w:val="99"/>
    <w:semiHidden/>
    <w:rsid w:val="002C7FBF"/>
    <w:rPr>
      <w:sz w:val="20"/>
      <w:szCs w:val="20"/>
    </w:rPr>
  </w:style>
  <w:style w:type="paragraph" w:styleId="CommentSubject">
    <w:name w:val="annotation subject"/>
    <w:basedOn w:val="CommentText"/>
    <w:next w:val="CommentText"/>
    <w:link w:val="CommentSubjectChar"/>
    <w:uiPriority w:val="99"/>
    <w:semiHidden/>
    <w:unhideWhenUsed/>
    <w:rsid w:val="002C7FBF"/>
    <w:rPr>
      <w:b/>
      <w:bCs/>
    </w:rPr>
  </w:style>
  <w:style w:type="character" w:customStyle="1" w:styleId="CommentSubjectChar">
    <w:name w:val="Comment Subject Char"/>
    <w:basedOn w:val="CommentTextChar"/>
    <w:link w:val="CommentSubject"/>
    <w:uiPriority w:val="99"/>
    <w:semiHidden/>
    <w:rsid w:val="002C7FBF"/>
    <w:rPr>
      <w:b/>
      <w:bCs/>
      <w:sz w:val="20"/>
      <w:szCs w:val="20"/>
    </w:rPr>
  </w:style>
  <w:style w:type="paragraph" w:styleId="Revision">
    <w:name w:val="Revision"/>
    <w:hidden/>
    <w:uiPriority w:val="99"/>
    <w:semiHidden/>
    <w:rsid w:val="002C7FBF"/>
    <w:pPr>
      <w:spacing w:after="0" w:line="240" w:lineRule="auto"/>
    </w:pPr>
  </w:style>
  <w:style w:type="paragraph" w:styleId="BalloonText">
    <w:name w:val="Balloon Text"/>
    <w:basedOn w:val="Normal"/>
    <w:link w:val="BalloonTextChar"/>
    <w:uiPriority w:val="99"/>
    <w:semiHidden/>
    <w:unhideWhenUsed/>
    <w:rsid w:val="002C7F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FBF"/>
    <w:rPr>
      <w:rFonts w:ascii="Segoe UI" w:hAnsi="Segoe UI" w:cs="Segoe UI"/>
      <w:sz w:val="18"/>
      <w:szCs w:val="18"/>
    </w:rPr>
  </w:style>
  <w:style w:type="paragraph" w:styleId="ListParagraph">
    <w:name w:val="List Paragraph"/>
    <w:basedOn w:val="Normal"/>
    <w:uiPriority w:val="34"/>
    <w:qFormat/>
    <w:rsid w:val="002C7FBF"/>
    <w:pPr>
      <w:spacing w:after="0" w:line="240" w:lineRule="auto"/>
      <w:ind w:left="720"/>
      <w:contextualSpacing/>
    </w:pPr>
    <w:rPr>
      <w:rFonts w:ascii="Calibri" w:hAnsi="Calibri" w:cs="Times New Roman"/>
    </w:rPr>
  </w:style>
  <w:style w:type="paragraph" w:customStyle="1" w:styleId="Default">
    <w:name w:val="Default"/>
    <w:rsid w:val="00700DD3"/>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647963">
      <w:bodyDiv w:val="1"/>
      <w:marLeft w:val="0"/>
      <w:marRight w:val="0"/>
      <w:marTop w:val="0"/>
      <w:marBottom w:val="0"/>
      <w:divBdr>
        <w:top w:val="none" w:sz="0" w:space="0" w:color="auto"/>
        <w:left w:val="none" w:sz="0" w:space="0" w:color="auto"/>
        <w:bottom w:val="none" w:sz="0" w:space="0" w:color="auto"/>
        <w:right w:val="none" w:sz="0" w:space="0" w:color="auto"/>
      </w:divBdr>
    </w:div>
    <w:div w:id="95178133">
      <w:bodyDiv w:val="1"/>
      <w:marLeft w:val="0"/>
      <w:marRight w:val="0"/>
      <w:marTop w:val="0"/>
      <w:marBottom w:val="0"/>
      <w:divBdr>
        <w:top w:val="none" w:sz="0" w:space="0" w:color="auto"/>
        <w:left w:val="none" w:sz="0" w:space="0" w:color="auto"/>
        <w:bottom w:val="none" w:sz="0" w:space="0" w:color="auto"/>
        <w:right w:val="none" w:sz="0" w:space="0" w:color="auto"/>
      </w:divBdr>
    </w:div>
    <w:div w:id="276446490">
      <w:bodyDiv w:val="1"/>
      <w:marLeft w:val="0"/>
      <w:marRight w:val="0"/>
      <w:marTop w:val="0"/>
      <w:marBottom w:val="0"/>
      <w:divBdr>
        <w:top w:val="none" w:sz="0" w:space="0" w:color="auto"/>
        <w:left w:val="none" w:sz="0" w:space="0" w:color="auto"/>
        <w:bottom w:val="none" w:sz="0" w:space="0" w:color="auto"/>
        <w:right w:val="none" w:sz="0" w:space="0" w:color="auto"/>
      </w:divBdr>
    </w:div>
    <w:div w:id="423379089">
      <w:bodyDiv w:val="1"/>
      <w:marLeft w:val="0"/>
      <w:marRight w:val="0"/>
      <w:marTop w:val="0"/>
      <w:marBottom w:val="0"/>
      <w:divBdr>
        <w:top w:val="none" w:sz="0" w:space="0" w:color="auto"/>
        <w:left w:val="none" w:sz="0" w:space="0" w:color="auto"/>
        <w:bottom w:val="none" w:sz="0" w:space="0" w:color="auto"/>
        <w:right w:val="none" w:sz="0" w:space="0" w:color="auto"/>
      </w:divBdr>
    </w:div>
    <w:div w:id="572735019">
      <w:bodyDiv w:val="1"/>
      <w:marLeft w:val="0"/>
      <w:marRight w:val="0"/>
      <w:marTop w:val="0"/>
      <w:marBottom w:val="0"/>
      <w:divBdr>
        <w:top w:val="none" w:sz="0" w:space="0" w:color="auto"/>
        <w:left w:val="none" w:sz="0" w:space="0" w:color="auto"/>
        <w:bottom w:val="none" w:sz="0" w:space="0" w:color="auto"/>
        <w:right w:val="none" w:sz="0" w:space="0" w:color="auto"/>
      </w:divBdr>
    </w:div>
    <w:div w:id="727607044">
      <w:bodyDiv w:val="1"/>
      <w:marLeft w:val="0"/>
      <w:marRight w:val="0"/>
      <w:marTop w:val="0"/>
      <w:marBottom w:val="0"/>
      <w:divBdr>
        <w:top w:val="none" w:sz="0" w:space="0" w:color="auto"/>
        <w:left w:val="none" w:sz="0" w:space="0" w:color="auto"/>
        <w:bottom w:val="none" w:sz="0" w:space="0" w:color="auto"/>
        <w:right w:val="none" w:sz="0" w:space="0" w:color="auto"/>
      </w:divBdr>
    </w:div>
    <w:div w:id="775758292">
      <w:bodyDiv w:val="1"/>
      <w:marLeft w:val="0"/>
      <w:marRight w:val="0"/>
      <w:marTop w:val="0"/>
      <w:marBottom w:val="0"/>
      <w:divBdr>
        <w:top w:val="none" w:sz="0" w:space="0" w:color="auto"/>
        <w:left w:val="none" w:sz="0" w:space="0" w:color="auto"/>
        <w:bottom w:val="none" w:sz="0" w:space="0" w:color="auto"/>
        <w:right w:val="none" w:sz="0" w:space="0" w:color="auto"/>
      </w:divBdr>
    </w:div>
    <w:div w:id="812914369">
      <w:bodyDiv w:val="1"/>
      <w:marLeft w:val="0"/>
      <w:marRight w:val="0"/>
      <w:marTop w:val="0"/>
      <w:marBottom w:val="0"/>
      <w:divBdr>
        <w:top w:val="none" w:sz="0" w:space="0" w:color="auto"/>
        <w:left w:val="none" w:sz="0" w:space="0" w:color="auto"/>
        <w:bottom w:val="none" w:sz="0" w:space="0" w:color="auto"/>
        <w:right w:val="none" w:sz="0" w:space="0" w:color="auto"/>
      </w:divBdr>
    </w:div>
    <w:div w:id="991718206">
      <w:bodyDiv w:val="1"/>
      <w:marLeft w:val="0"/>
      <w:marRight w:val="0"/>
      <w:marTop w:val="0"/>
      <w:marBottom w:val="0"/>
      <w:divBdr>
        <w:top w:val="none" w:sz="0" w:space="0" w:color="auto"/>
        <w:left w:val="none" w:sz="0" w:space="0" w:color="auto"/>
        <w:bottom w:val="none" w:sz="0" w:space="0" w:color="auto"/>
        <w:right w:val="none" w:sz="0" w:space="0" w:color="auto"/>
      </w:divBdr>
    </w:div>
    <w:div w:id="1008368102">
      <w:bodyDiv w:val="1"/>
      <w:marLeft w:val="0"/>
      <w:marRight w:val="0"/>
      <w:marTop w:val="0"/>
      <w:marBottom w:val="0"/>
      <w:divBdr>
        <w:top w:val="none" w:sz="0" w:space="0" w:color="auto"/>
        <w:left w:val="none" w:sz="0" w:space="0" w:color="auto"/>
        <w:bottom w:val="none" w:sz="0" w:space="0" w:color="auto"/>
        <w:right w:val="none" w:sz="0" w:space="0" w:color="auto"/>
      </w:divBdr>
    </w:div>
    <w:div w:id="1036152851">
      <w:bodyDiv w:val="1"/>
      <w:marLeft w:val="0"/>
      <w:marRight w:val="0"/>
      <w:marTop w:val="0"/>
      <w:marBottom w:val="0"/>
      <w:divBdr>
        <w:top w:val="none" w:sz="0" w:space="0" w:color="auto"/>
        <w:left w:val="none" w:sz="0" w:space="0" w:color="auto"/>
        <w:bottom w:val="none" w:sz="0" w:space="0" w:color="auto"/>
        <w:right w:val="none" w:sz="0" w:space="0" w:color="auto"/>
      </w:divBdr>
    </w:div>
    <w:div w:id="1312178811">
      <w:bodyDiv w:val="1"/>
      <w:marLeft w:val="0"/>
      <w:marRight w:val="0"/>
      <w:marTop w:val="0"/>
      <w:marBottom w:val="0"/>
      <w:divBdr>
        <w:top w:val="none" w:sz="0" w:space="0" w:color="auto"/>
        <w:left w:val="none" w:sz="0" w:space="0" w:color="auto"/>
        <w:bottom w:val="none" w:sz="0" w:space="0" w:color="auto"/>
        <w:right w:val="none" w:sz="0" w:space="0" w:color="auto"/>
      </w:divBdr>
    </w:div>
    <w:div w:id="1391926592">
      <w:bodyDiv w:val="1"/>
      <w:marLeft w:val="0"/>
      <w:marRight w:val="0"/>
      <w:marTop w:val="0"/>
      <w:marBottom w:val="0"/>
      <w:divBdr>
        <w:top w:val="none" w:sz="0" w:space="0" w:color="auto"/>
        <w:left w:val="none" w:sz="0" w:space="0" w:color="auto"/>
        <w:bottom w:val="none" w:sz="0" w:space="0" w:color="auto"/>
        <w:right w:val="none" w:sz="0" w:space="0" w:color="auto"/>
      </w:divBdr>
    </w:div>
    <w:div w:id="1462534042">
      <w:bodyDiv w:val="1"/>
      <w:marLeft w:val="0"/>
      <w:marRight w:val="0"/>
      <w:marTop w:val="0"/>
      <w:marBottom w:val="0"/>
      <w:divBdr>
        <w:top w:val="none" w:sz="0" w:space="0" w:color="auto"/>
        <w:left w:val="none" w:sz="0" w:space="0" w:color="auto"/>
        <w:bottom w:val="none" w:sz="0" w:space="0" w:color="auto"/>
        <w:right w:val="none" w:sz="0" w:space="0" w:color="auto"/>
      </w:divBdr>
    </w:div>
    <w:div w:id="1514611412">
      <w:bodyDiv w:val="1"/>
      <w:marLeft w:val="0"/>
      <w:marRight w:val="0"/>
      <w:marTop w:val="0"/>
      <w:marBottom w:val="0"/>
      <w:divBdr>
        <w:top w:val="none" w:sz="0" w:space="0" w:color="auto"/>
        <w:left w:val="none" w:sz="0" w:space="0" w:color="auto"/>
        <w:bottom w:val="none" w:sz="0" w:space="0" w:color="auto"/>
        <w:right w:val="none" w:sz="0" w:space="0" w:color="auto"/>
      </w:divBdr>
    </w:div>
    <w:div w:id="2031447279">
      <w:bodyDiv w:val="1"/>
      <w:marLeft w:val="0"/>
      <w:marRight w:val="0"/>
      <w:marTop w:val="0"/>
      <w:marBottom w:val="0"/>
      <w:divBdr>
        <w:top w:val="none" w:sz="0" w:space="0" w:color="auto"/>
        <w:left w:val="none" w:sz="0" w:space="0" w:color="auto"/>
        <w:bottom w:val="none" w:sz="0" w:space="0" w:color="auto"/>
        <w:right w:val="none" w:sz="0" w:space="0" w:color="auto"/>
      </w:divBdr>
    </w:div>
    <w:div w:id="2058359225">
      <w:bodyDiv w:val="1"/>
      <w:marLeft w:val="0"/>
      <w:marRight w:val="0"/>
      <w:marTop w:val="0"/>
      <w:marBottom w:val="0"/>
      <w:divBdr>
        <w:top w:val="none" w:sz="0" w:space="0" w:color="auto"/>
        <w:left w:val="none" w:sz="0" w:space="0" w:color="auto"/>
        <w:bottom w:val="none" w:sz="0" w:space="0" w:color="auto"/>
        <w:right w:val="none" w:sz="0" w:space="0" w:color="auto"/>
      </w:divBdr>
    </w:div>
    <w:div w:id="2064595023">
      <w:bodyDiv w:val="1"/>
      <w:marLeft w:val="0"/>
      <w:marRight w:val="0"/>
      <w:marTop w:val="0"/>
      <w:marBottom w:val="0"/>
      <w:divBdr>
        <w:top w:val="none" w:sz="0" w:space="0" w:color="auto"/>
        <w:left w:val="none" w:sz="0" w:space="0" w:color="auto"/>
        <w:bottom w:val="none" w:sz="0" w:space="0" w:color="auto"/>
        <w:right w:val="none" w:sz="0" w:space="0" w:color="auto"/>
      </w:divBdr>
    </w:div>
    <w:div w:id="2124689105">
      <w:bodyDiv w:val="1"/>
      <w:marLeft w:val="0"/>
      <w:marRight w:val="0"/>
      <w:marTop w:val="0"/>
      <w:marBottom w:val="0"/>
      <w:divBdr>
        <w:top w:val="none" w:sz="0" w:space="0" w:color="auto"/>
        <w:left w:val="none" w:sz="0" w:space="0" w:color="auto"/>
        <w:bottom w:val="none" w:sz="0" w:space="0" w:color="auto"/>
        <w:right w:val="none" w:sz="0" w:space="0" w:color="auto"/>
      </w:divBdr>
    </w:div>
    <w:div w:id="2132046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gs.ca.gov/-/media/Divisions/SAM/RevSumm/TC-FILES/80325TCAPR2021.docx?la=en&amp;hash=91277E4EF7BEFD137BF3E5AB0A8E3F01F8349689" TargetMode="External"/><Relationship Id="rId13" Type="http://schemas.openxmlformats.org/officeDocument/2006/relationships/hyperlink" Target="https://www.dgs.ca.gov/-/media/Divisions/SAM/RevSumm/TC-FILES/13410TC-APR2021.docx?la=en&amp;hash=45104F70D8619DDF33369C7D1701D30720FFE374" TargetMode="External"/><Relationship Id="rId3" Type="http://schemas.openxmlformats.org/officeDocument/2006/relationships/settings" Target="settings.xml"/><Relationship Id="rId7" Type="http://schemas.openxmlformats.org/officeDocument/2006/relationships/hyperlink" Target="https://www.dgs.ca.gov/resources/sam/toc/8000" TargetMode="External"/><Relationship Id="rId12" Type="http://schemas.openxmlformats.org/officeDocument/2006/relationships/hyperlink" Target="https://www.dgs.ca.gov/-/media/Divisions/SAM/RevSumm/TC-FILES/13400TC-APR2021.docx?la=en&amp;hash=23A278AA78AE207523E17A84C932D1461A28C44B"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dgs.ca.gov/-/media/Divisions/SAM/RevSumm/TC-FILES/7050TC-APR2021.docx?la=en&amp;hash=D72F0E6FA174E1C21265496BD3233D6F5DFD0DB3" TargetMode="External"/><Relationship Id="rId11" Type="http://schemas.openxmlformats.org/officeDocument/2006/relationships/hyperlink" Target="https://www.dgs.ca.gov/resources/sam/toc/13400" TargetMode="External"/><Relationship Id="rId5" Type="http://schemas.openxmlformats.org/officeDocument/2006/relationships/hyperlink" Target="https://www.dgs.ca.gov/resources/sam/toc/7000" TargetMode="External"/><Relationship Id="rId15" Type="http://schemas.openxmlformats.org/officeDocument/2006/relationships/fontTable" Target="fontTable.xml"/><Relationship Id="rId10" Type="http://schemas.openxmlformats.org/officeDocument/2006/relationships/hyperlink" Target="https://www.dgs.ca.gov/-/media/Divisions/SAM/RevSumm/TC-FILES/11100TC-APR2021.docx?la=en&amp;hash=D07D9174BA09B10FB9D763176A306FA5D4688D26" TargetMode="External"/><Relationship Id="rId4" Type="http://schemas.openxmlformats.org/officeDocument/2006/relationships/webSettings" Target="webSettings.xml"/><Relationship Id="rId9" Type="http://schemas.openxmlformats.org/officeDocument/2006/relationships/hyperlink" Target="https://www.dgs.ca.gov/resources/sam/toc/11100" TargetMode="External"/><Relationship Id="rId14" Type="http://schemas.openxmlformats.org/officeDocument/2006/relationships/hyperlink" Target="https://www.dgs.ca.gov/-/media/Divisions/SAM/RevSumm/TC-FILES/16400TC-APR2021.docx?la=en&amp;hash=F39449F4515525B54E15C7AA1229680496DDEA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2409</TotalTime>
  <Pages>2</Pages>
  <Words>411</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Porter, Dana@DGS</dc:creator>
  <cp:keywords/>
  <dc:description/>
  <cp:lastModifiedBy>Porter, Dana@DGS</cp:lastModifiedBy>
  <cp:revision>9</cp:revision>
  <dcterms:created xsi:type="dcterms:W3CDTF">2021-04-05T20:27:00Z</dcterms:created>
  <dcterms:modified xsi:type="dcterms:W3CDTF">2021-04-07T19:29:00Z</dcterms:modified>
</cp:coreProperties>
</file>