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40C" w:rsidRDefault="009D518E">
      <w:pPr>
        <w:pStyle w:val="Heading1"/>
        <w:spacing w:after="254"/>
        <w:ind w:left="7" w:right="20"/>
      </w:pPr>
      <w:r>
        <w:t xml:space="preserve">NONEMPLOYEE ACCOUNTS RECEIVABLE                                                             8776.6 </w:t>
      </w:r>
      <w:del w:id="0" w:author="Singh, Rupi" w:date="2020-10-27T17:11:00Z">
        <w:r w:rsidDel="00630046">
          <w:rPr>
            <w:b w:val="0"/>
          </w:rPr>
          <w:delText xml:space="preserve"> </w:delText>
        </w:r>
      </w:del>
      <w:r>
        <w:rPr>
          <w:b w:val="0"/>
        </w:rPr>
        <w:t>(</w:t>
      </w:r>
      <w:del w:id="1" w:author="Nguyen, Hoa" w:date="2020-10-08T17:40:00Z">
        <w:r w:rsidDel="009D518E">
          <w:rPr>
            <w:b w:val="0"/>
          </w:rPr>
          <w:delText xml:space="preserve">Revised </w:delText>
        </w:r>
      </w:del>
      <w:ins w:id="2" w:author="Nguyen, Hoa" w:date="2020-10-08T17:40:00Z">
        <w:r w:rsidR="00F85E76">
          <w:rPr>
            <w:b w:val="0"/>
          </w:rPr>
          <w:t xml:space="preserve">Renumbered to </w:t>
        </w:r>
        <w:r>
          <w:rPr>
            <w:b w:val="0"/>
          </w:rPr>
          <w:t xml:space="preserve">8293.1 </w:t>
        </w:r>
      </w:ins>
      <w:del w:id="3" w:author="Nguyen, Hoa" w:date="2020-10-08T17:40:00Z">
        <w:r w:rsidDel="009D518E">
          <w:rPr>
            <w:b w:val="0"/>
          </w:rPr>
          <w:delText>06</w:delText>
        </w:r>
      </w:del>
      <w:ins w:id="4" w:author="Nguyen, Hoa" w:date="2020-10-08T17:40:00Z">
        <w:r>
          <w:rPr>
            <w:b w:val="0"/>
          </w:rPr>
          <w:t>10</w:t>
        </w:r>
      </w:ins>
      <w:r>
        <w:rPr>
          <w:b w:val="0"/>
        </w:rPr>
        <w:t>/</w:t>
      </w:r>
      <w:del w:id="5" w:author="Nguyen, Hoa" w:date="2020-10-08T17:40:00Z">
        <w:r w:rsidDel="009D518E">
          <w:rPr>
            <w:b w:val="0"/>
          </w:rPr>
          <w:delText>2016</w:delText>
        </w:r>
      </w:del>
      <w:ins w:id="6" w:author="Nguyen, Hoa" w:date="2020-10-08T17:40:00Z">
        <w:r>
          <w:rPr>
            <w:b w:val="0"/>
          </w:rPr>
          <w:t>2020</w:t>
        </w:r>
      </w:ins>
      <w:r>
        <w:rPr>
          <w:b w:val="0"/>
        </w:rPr>
        <w:t xml:space="preserve">) </w:t>
      </w:r>
    </w:p>
    <w:p w:rsidR="0030740C" w:rsidDel="009D518E" w:rsidRDefault="009D518E">
      <w:pPr>
        <w:spacing w:after="5" w:line="249" w:lineRule="auto"/>
        <w:ind w:left="7" w:right="439" w:hanging="10"/>
        <w:rPr>
          <w:del w:id="7" w:author="Nguyen, Hoa" w:date="2020-10-08T17:40:00Z"/>
        </w:rPr>
      </w:pPr>
      <w:ins w:id="8" w:author="Nguyen, Hoa" w:date="2020-10-08T17:40:00Z">
        <w:r w:rsidDel="009D518E">
          <w:rPr>
            <w:rFonts w:ascii="Arial" w:eastAsia="Arial" w:hAnsi="Arial" w:cs="Arial"/>
            <w:sz w:val="23"/>
          </w:rPr>
          <w:t xml:space="preserve"> </w:t>
        </w:r>
      </w:ins>
      <w:del w:id="9" w:author="Nguyen, Hoa" w:date="2020-10-08T17:40:00Z">
        <w:r w:rsidDel="009D518E">
          <w:rPr>
            <w:rFonts w:ascii="Arial" w:eastAsia="Arial" w:hAnsi="Arial" w:cs="Arial"/>
            <w:sz w:val="23"/>
          </w:rPr>
          <w:delText xml:space="preserve">Each department will develop collection procedures that will assure prompt follow-up on receivables. Departments will use the following procedures and guidelines for the collection of amounts owed to the state from nonemployees. These procedures are in </w:delText>
        </w:r>
      </w:del>
    </w:p>
    <w:p w:rsidR="0030740C" w:rsidDel="009D518E" w:rsidRDefault="009D518E">
      <w:pPr>
        <w:spacing w:after="5" w:line="249" w:lineRule="auto"/>
        <w:ind w:left="7" w:right="453" w:hanging="10"/>
        <w:rPr>
          <w:del w:id="10" w:author="Nguyen, Hoa" w:date="2020-10-08T17:40:00Z"/>
        </w:rPr>
      </w:pPr>
      <w:del w:id="11" w:author="Nguyen, Hoa" w:date="2020-10-08T17:40:00Z">
        <w:r w:rsidDel="009D518E">
          <w:rPr>
            <w:rFonts w:ascii="Arial" w:eastAsia="Arial" w:hAnsi="Arial" w:cs="Arial"/>
            <w:sz w:val="23"/>
          </w:rPr>
          <w:delText xml:space="preserve">accordance with the Accounts Receivable Management Act as provided in Government Code (GC) sections </w:delText>
        </w:r>
        <w:r w:rsidDel="009D518E">
          <w:fldChar w:fldCharType="begin"/>
        </w:r>
        <w:r w:rsidDel="009D518E">
          <w:delInstrText xml:space="preserve"> HYPERLINK "http://leginfo.legislature.ca.gov/faces/codes_displayText.xhtml?lawCode=GOV&amp;amp;division=4.&amp;amp;title=2.&amp;amp;part=2.&amp;amp;chapter=4.3.&amp;amp;article" \h </w:delInstrText>
        </w:r>
        <w:r w:rsidDel="009D518E">
          <w:fldChar w:fldCharType="separate"/>
        </w:r>
        <w:r w:rsidDel="009D518E">
          <w:rPr>
            <w:rFonts w:ascii="Arial" w:eastAsia="Arial" w:hAnsi="Arial" w:cs="Arial"/>
            <w:color w:val="0000FF"/>
            <w:sz w:val="23"/>
            <w:u w:val="single" w:color="0000FF"/>
          </w:rPr>
          <w:delText>16580-16586</w:delText>
        </w:r>
        <w:r w:rsidDel="009D518E">
          <w:rPr>
            <w:rFonts w:ascii="Arial" w:eastAsia="Arial" w:hAnsi="Arial" w:cs="Arial"/>
            <w:color w:val="0000FF"/>
            <w:sz w:val="23"/>
            <w:u w:val="single" w:color="0000FF"/>
          </w:rPr>
          <w:fldChar w:fldCharType="end"/>
        </w:r>
        <w:r w:rsidDel="009D518E">
          <w:fldChar w:fldCharType="begin"/>
        </w:r>
        <w:r w:rsidDel="009D518E">
          <w:delInstrText xml:space="preserve"> HYPERLINK "http://leginfo.legislature.ca.gov/faces/codes_displayText.xhtml?lawCode=GOV&amp;amp;division=4.&amp;amp;title=2.&amp;amp;part=2.&amp;amp;chapter=4.3.&amp;amp;article" \h </w:delInstrText>
        </w:r>
        <w:r w:rsidDel="009D518E">
          <w:fldChar w:fldCharType="separate"/>
        </w:r>
        <w:r w:rsidDel="009D518E">
          <w:rPr>
            <w:rFonts w:ascii="Arial" w:eastAsia="Arial" w:hAnsi="Arial" w:cs="Arial"/>
            <w:sz w:val="23"/>
          </w:rPr>
          <w:delText>.</w:delText>
        </w:r>
        <w:r w:rsidDel="009D518E">
          <w:rPr>
            <w:rFonts w:ascii="Arial" w:eastAsia="Arial" w:hAnsi="Arial" w:cs="Arial"/>
            <w:sz w:val="23"/>
          </w:rPr>
          <w:fldChar w:fldCharType="end"/>
        </w:r>
        <w:r w:rsidDel="009D518E">
          <w:rPr>
            <w:rFonts w:ascii="Arial" w:eastAsia="Arial" w:hAnsi="Arial" w:cs="Arial"/>
            <w:sz w:val="23"/>
          </w:rPr>
          <w:delText xml:space="preserve"> </w:delText>
        </w:r>
      </w:del>
    </w:p>
    <w:p w:rsidR="0030740C" w:rsidDel="009D518E" w:rsidRDefault="009D518E">
      <w:pPr>
        <w:spacing w:after="0"/>
        <w:ind w:left="12"/>
        <w:rPr>
          <w:del w:id="12" w:author="Nguyen, Hoa" w:date="2020-10-08T17:40:00Z"/>
        </w:rPr>
      </w:pPr>
      <w:del w:id="13" w:author="Nguyen, Hoa" w:date="2020-10-08T17:40:00Z">
        <w:r w:rsidDel="009D518E">
          <w:rPr>
            <w:rFonts w:ascii="Arial" w:eastAsia="Arial" w:hAnsi="Arial" w:cs="Arial"/>
          </w:rPr>
          <w:delText xml:space="preserve"> </w:delText>
        </w:r>
      </w:del>
    </w:p>
    <w:p w:rsidR="0030740C" w:rsidDel="009D518E" w:rsidRDefault="009D518E">
      <w:pPr>
        <w:pStyle w:val="Heading1"/>
        <w:ind w:left="7" w:right="20"/>
        <w:rPr>
          <w:del w:id="14" w:author="Nguyen, Hoa" w:date="2020-10-08T17:40:00Z"/>
        </w:rPr>
      </w:pPr>
      <w:del w:id="15" w:author="Nguyen, Hoa" w:date="2020-10-08T17:40:00Z">
        <w:r w:rsidDel="009D518E">
          <w:delText>Locating Debtor</w:delText>
        </w:r>
        <w:r w:rsidDel="009D518E">
          <w:rPr>
            <w:b w:val="0"/>
          </w:rPr>
          <w:delText xml:space="preserve"> </w:delText>
        </w:r>
      </w:del>
    </w:p>
    <w:p w:rsidR="0030740C" w:rsidDel="009D518E" w:rsidRDefault="009D518E">
      <w:pPr>
        <w:spacing w:after="0"/>
        <w:ind w:left="12"/>
        <w:rPr>
          <w:del w:id="16" w:author="Nguyen, Hoa" w:date="2020-10-08T17:40:00Z"/>
        </w:rPr>
      </w:pPr>
      <w:del w:id="17" w:author="Nguyen, Hoa" w:date="2020-10-08T17:40:00Z">
        <w:r w:rsidDel="009D518E">
          <w:rPr>
            <w:rFonts w:ascii="Arial" w:eastAsia="Arial" w:hAnsi="Arial" w:cs="Arial"/>
            <w:b/>
            <w:sz w:val="23"/>
          </w:rPr>
          <w:delText xml:space="preserve"> </w:delText>
        </w:r>
      </w:del>
    </w:p>
    <w:p w:rsidR="0030740C" w:rsidDel="009D518E" w:rsidRDefault="009D518E">
      <w:pPr>
        <w:spacing w:after="5" w:line="249" w:lineRule="auto"/>
        <w:ind w:left="7" w:hanging="10"/>
        <w:rPr>
          <w:del w:id="18" w:author="Nguyen, Hoa" w:date="2020-10-08T17:40:00Z"/>
        </w:rPr>
      </w:pPr>
      <w:del w:id="19" w:author="Nguyen, Hoa" w:date="2020-10-08T17:40:00Z">
        <w:r w:rsidDel="009D518E">
          <w:rPr>
            <w:rFonts w:ascii="Arial" w:eastAsia="Arial" w:hAnsi="Arial" w:cs="Arial"/>
            <w:sz w:val="23"/>
          </w:rPr>
          <w:delText xml:space="preserve">When the address of the debtor is unknown, departments will attempt to obtain a current address. Departments may use Internet search engines and/or a data research service. Departments should perform a cost benefit analysis to determine if procuring services to locate debtors would be cost beneficial. Another alternative is to request the debtor’s address from the Department of Motor Vehicles by completing a Gov’t Agency Request for Driver License/Identification Record Information form, INF 254. For this alternative, the debtor’s date of birth or driver’s license/identification number is required. </w:delText>
        </w:r>
      </w:del>
    </w:p>
    <w:p w:rsidR="0030740C" w:rsidDel="009D518E" w:rsidRDefault="009D518E">
      <w:pPr>
        <w:spacing w:after="0"/>
        <w:ind w:left="12"/>
        <w:rPr>
          <w:del w:id="20" w:author="Nguyen, Hoa" w:date="2020-10-08T17:40:00Z"/>
        </w:rPr>
      </w:pPr>
      <w:del w:id="21" w:author="Nguyen, Hoa" w:date="2020-10-08T17:40:00Z">
        <w:r w:rsidDel="009D518E">
          <w:rPr>
            <w:rFonts w:ascii="Arial" w:eastAsia="Arial" w:hAnsi="Arial" w:cs="Arial"/>
          </w:rPr>
          <w:delText xml:space="preserve"> </w:delText>
        </w:r>
      </w:del>
    </w:p>
    <w:p w:rsidR="0030740C" w:rsidDel="009D518E" w:rsidRDefault="009D518E">
      <w:pPr>
        <w:pStyle w:val="Heading1"/>
        <w:ind w:left="7" w:right="20"/>
        <w:rPr>
          <w:del w:id="22" w:author="Nguyen, Hoa" w:date="2020-10-08T17:40:00Z"/>
        </w:rPr>
      </w:pPr>
      <w:del w:id="23" w:author="Nguyen, Hoa" w:date="2020-10-08T17:40:00Z">
        <w:r w:rsidDel="009D518E">
          <w:delText>Collection Letters</w:delText>
        </w:r>
        <w:r w:rsidDel="009D518E">
          <w:rPr>
            <w:b w:val="0"/>
          </w:rPr>
          <w:delText xml:space="preserve"> </w:delText>
        </w:r>
      </w:del>
    </w:p>
    <w:p w:rsidR="0030740C" w:rsidDel="009D518E" w:rsidRDefault="009D518E">
      <w:pPr>
        <w:spacing w:after="0"/>
        <w:ind w:left="12"/>
        <w:rPr>
          <w:del w:id="24" w:author="Nguyen, Hoa" w:date="2020-10-08T17:40:00Z"/>
        </w:rPr>
      </w:pPr>
      <w:del w:id="25" w:author="Nguyen, Hoa" w:date="2020-10-08T17:40:00Z">
        <w:r w:rsidDel="009D518E">
          <w:rPr>
            <w:rFonts w:ascii="Arial" w:eastAsia="Arial" w:hAnsi="Arial" w:cs="Arial"/>
            <w:b/>
            <w:sz w:val="23"/>
          </w:rPr>
          <w:delText xml:space="preserve"> </w:delText>
        </w:r>
      </w:del>
    </w:p>
    <w:p w:rsidR="0030740C" w:rsidDel="009D518E" w:rsidRDefault="009D518E">
      <w:pPr>
        <w:spacing w:after="5" w:line="249" w:lineRule="auto"/>
        <w:ind w:left="7" w:hanging="10"/>
        <w:rPr>
          <w:del w:id="26" w:author="Nguyen, Hoa" w:date="2020-10-08T17:40:00Z"/>
        </w:rPr>
      </w:pPr>
      <w:del w:id="27" w:author="Nguyen, Hoa" w:date="2020-10-08T17:40:00Z">
        <w:r w:rsidDel="009D518E">
          <w:rPr>
            <w:rFonts w:ascii="Arial" w:eastAsia="Arial" w:hAnsi="Arial" w:cs="Arial"/>
            <w:sz w:val="23"/>
          </w:rPr>
          <w:delText xml:space="preserve">Departments are advised to use collection practices that are cost effective and consistent with their program goals and legal authority. Three documented letters should be made to collect on nonemployee delinquent accounts. However, departments have the option of making one documented letter before proceeding to the discharge of accountability process for nonemployee accounts receivable of $25 and under. This threshold applies to the total amount owed by the debtor, not to each invoice. The Discharge of Accountability section below provides more information regarding this process. </w:delText>
        </w:r>
      </w:del>
    </w:p>
    <w:p w:rsidR="0030740C" w:rsidDel="009D518E" w:rsidRDefault="009D518E">
      <w:pPr>
        <w:spacing w:after="0"/>
        <w:ind w:left="12"/>
        <w:rPr>
          <w:del w:id="28" w:author="Nguyen, Hoa" w:date="2020-10-08T17:40:00Z"/>
        </w:rPr>
      </w:pPr>
      <w:del w:id="29" w:author="Nguyen, Hoa" w:date="2020-10-08T17:40:00Z">
        <w:r w:rsidDel="009D518E">
          <w:rPr>
            <w:rFonts w:ascii="Arial" w:eastAsia="Arial" w:hAnsi="Arial" w:cs="Arial"/>
            <w:sz w:val="23"/>
          </w:rPr>
          <w:delText xml:space="preserve"> </w:delText>
        </w:r>
      </w:del>
    </w:p>
    <w:p w:rsidR="0030740C" w:rsidDel="009D518E" w:rsidRDefault="009D518E">
      <w:pPr>
        <w:spacing w:after="5" w:line="249" w:lineRule="auto"/>
        <w:ind w:left="7" w:hanging="10"/>
        <w:rPr>
          <w:del w:id="30" w:author="Nguyen, Hoa" w:date="2020-10-08T17:40:00Z"/>
        </w:rPr>
      </w:pPr>
      <w:del w:id="31" w:author="Nguyen, Hoa" w:date="2020-10-08T17:40:00Z">
        <w:r w:rsidDel="009D518E">
          <w:rPr>
            <w:rFonts w:ascii="Arial" w:eastAsia="Arial" w:hAnsi="Arial" w:cs="Arial"/>
            <w:sz w:val="23"/>
          </w:rPr>
          <w:delText xml:space="preserve">For the collection letter process, the department will send a sequence of three collection letters at a minimum of 30 day intervals. If a reply or payment is not received within 30 days after sending the first letter, the department will send a second letter. This follow-up letter will reference the original request for payment letter and will be stated in a stronger tone. If a response is still not received from the debtor, a third letter will be sent 30 days later. This last letter will include references to prior letters and will state what further actions, including collection fees, may be taken in the collection process. </w:delText>
        </w:r>
      </w:del>
    </w:p>
    <w:p w:rsidR="0030740C" w:rsidDel="009D518E" w:rsidRDefault="009D518E" w:rsidP="00630046">
      <w:pPr>
        <w:spacing w:after="0"/>
        <w:ind w:left="12"/>
        <w:rPr>
          <w:del w:id="32" w:author="Nguyen, Hoa" w:date="2020-10-08T17:40:00Z"/>
        </w:rPr>
      </w:pPr>
      <w:del w:id="33" w:author="Nguyen, Hoa" w:date="2020-10-08T17:40:00Z">
        <w:r w:rsidDel="009D518E">
          <w:rPr>
            <w:rFonts w:ascii="Arial" w:eastAsia="Arial" w:hAnsi="Arial" w:cs="Arial"/>
          </w:rPr>
          <w:delText xml:space="preserve"> </w:delText>
        </w:r>
      </w:del>
    </w:p>
    <w:p w:rsidR="0030740C" w:rsidDel="009D518E" w:rsidRDefault="009D518E">
      <w:pPr>
        <w:spacing w:after="5" w:line="249" w:lineRule="auto"/>
        <w:ind w:left="7" w:right="565" w:hanging="10"/>
        <w:rPr>
          <w:del w:id="34" w:author="Nguyen, Hoa" w:date="2020-10-08T17:40:00Z"/>
        </w:rPr>
      </w:pPr>
      <w:del w:id="35" w:author="Nguyen, Hoa" w:date="2020-10-08T17:40:00Z">
        <w:r w:rsidDel="009D518E">
          <w:rPr>
            <w:rFonts w:ascii="Arial" w:eastAsia="Arial" w:hAnsi="Arial" w:cs="Arial"/>
            <w:sz w:val="23"/>
          </w:rPr>
          <w:delText xml:space="preserve">GC section </w:delText>
        </w:r>
        <w:r w:rsidDel="009D518E">
          <w:fldChar w:fldCharType="begin"/>
        </w:r>
        <w:r w:rsidDel="009D518E">
          <w:delInstrText xml:space="preserve"> HYPERLINK "http://leginfo.legislature.ca.gov/faces/codes_displaySection.xhtml?lawCode=GOV&amp;amp;sectionNum=16583.1" \h </w:delInstrText>
        </w:r>
        <w:r w:rsidDel="009D518E">
          <w:fldChar w:fldCharType="separate"/>
        </w:r>
        <w:r w:rsidDel="009D518E">
          <w:rPr>
            <w:rFonts w:ascii="Arial" w:eastAsia="Arial" w:hAnsi="Arial" w:cs="Arial"/>
            <w:color w:val="0000FF"/>
            <w:sz w:val="23"/>
            <w:u w:val="single" w:color="0000FF"/>
          </w:rPr>
          <w:delText xml:space="preserve">16583.1 </w:delText>
        </w:r>
        <w:r w:rsidDel="009D518E">
          <w:rPr>
            <w:rFonts w:ascii="Arial" w:eastAsia="Arial" w:hAnsi="Arial" w:cs="Arial"/>
            <w:color w:val="0000FF"/>
            <w:sz w:val="23"/>
            <w:u w:val="single" w:color="0000FF"/>
          </w:rPr>
          <w:fldChar w:fldCharType="end"/>
        </w:r>
        <w:r w:rsidDel="009D518E">
          <w:fldChar w:fldCharType="begin"/>
        </w:r>
        <w:r w:rsidDel="009D518E">
          <w:delInstrText xml:space="preserve"> HYPERLINK "http://leginfo.legislature.ca.gov/faces/codes_displaySection.xhtml?lawCode=GOV&amp;amp;sectionNum=16583.1" \h </w:delInstrText>
        </w:r>
        <w:r w:rsidDel="009D518E">
          <w:fldChar w:fldCharType="separate"/>
        </w:r>
        <w:r w:rsidDel="009D518E">
          <w:rPr>
            <w:rFonts w:ascii="Arial" w:eastAsia="Arial" w:hAnsi="Arial" w:cs="Arial"/>
            <w:sz w:val="23"/>
          </w:rPr>
          <w:delText>a</w:delText>
        </w:r>
        <w:r w:rsidDel="009D518E">
          <w:rPr>
            <w:rFonts w:ascii="Arial" w:eastAsia="Arial" w:hAnsi="Arial" w:cs="Arial"/>
            <w:sz w:val="23"/>
          </w:rPr>
          <w:fldChar w:fldCharType="end"/>
        </w:r>
        <w:r w:rsidDel="009D518E">
          <w:rPr>
            <w:rFonts w:ascii="Arial" w:eastAsia="Arial" w:hAnsi="Arial" w:cs="Arial"/>
            <w:sz w:val="23"/>
          </w:rPr>
          <w:delText xml:space="preserve">llows departments to charge a reasonable fee, not to exceed the actual costs incurred by the department, to recover the department’s collection costs on past due ARs. </w:delText>
        </w:r>
      </w:del>
    </w:p>
    <w:p w:rsidR="0030740C" w:rsidDel="009D518E" w:rsidRDefault="009D518E">
      <w:pPr>
        <w:spacing w:after="0"/>
        <w:ind w:left="12"/>
        <w:rPr>
          <w:del w:id="36" w:author="Nguyen, Hoa" w:date="2020-10-08T17:40:00Z"/>
        </w:rPr>
      </w:pPr>
      <w:del w:id="37" w:author="Nguyen, Hoa" w:date="2020-10-08T17:40:00Z">
        <w:r w:rsidDel="009D518E">
          <w:rPr>
            <w:rFonts w:ascii="Arial" w:eastAsia="Arial" w:hAnsi="Arial" w:cs="Arial"/>
          </w:rPr>
          <w:delText xml:space="preserve"> </w:delText>
        </w:r>
      </w:del>
    </w:p>
    <w:p w:rsidR="0030740C" w:rsidDel="009D518E" w:rsidRDefault="009D518E">
      <w:pPr>
        <w:spacing w:after="5" w:line="249" w:lineRule="auto"/>
        <w:ind w:left="7" w:hanging="10"/>
        <w:rPr>
          <w:del w:id="38" w:author="Nguyen, Hoa" w:date="2020-10-08T17:40:00Z"/>
        </w:rPr>
      </w:pPr>
      <w:del w:id="39" w:author="Nguyen, Hoa" w:date="2020-10-08T17:40:00Z">
        <w:r w:rsidDel="009D518E">
          <w:rPr>
            <w:rFonts w:ascii="Arial" w:eastAsia="Arial" w:hAnsi="Arial" w:cs="Arial"/>
            <w:sz w:val="23"/>
          </w:rPr>
          <w:delText xml:space="preserve">If a department plans to recover costs pursuant to this section, departments should consider actual costs incurred, including, but not limited to, staff time to send out collection letters, postage, equipment costs, and contingency fees for private collectors. </w:delText>
        </w:r>
        <w:bookmarkStart w:id="40" w:name="_GoBack"/>
        <w:bookmarkEnd w:id="40"/>
      </w:del>
    </w:p>
    <w:p w:rsidR="0030740C" w:rsidDel="009D518E" w:rsidRDefault="00D36704">
      <w:pPr>
        <w:spacing w:after="0"/>
        <w:ind w:left="12"/>
        <w:rPr>
          <w:del w:id="41" w:author="Nguyen, Hoa" w:date="2020-10-08T17:40:00Z"/>
        </w:rPr>
      </w:pPr>
      <w:ins w:id="42" w:author="Nguyen, Hoa" w:date="2020-10-15T14:02:00Z">
        <w:r>
          <w:rPr>
            <w:noProof/>
          </w:rPr>
          <mc:AlternateContent>
            <mc:Choice Requires="wps">
              <w:drawing>
                <wp:anchor distT="45720" distB="45720" distL="114300" distR="114300" simplePos="0" relativeHeight="251659264" behindDoc="1" locked="0" layoutInCell="1" allowOverlap="1" wp14:anchorId="2A3C7BC1" wp14:editId="6D645DDF">
                  <wp:simplePos x="0" y="0"/>
                  <wp:positionH relativeFrom="margin">
                    <wp:posOffset>4990465</wp:posOffset>
                  </wp:positionH>
                  <wp:positionV relativeFrom="paragraph">
                    <wp:posOffset>464820</wp:posOffset>
                  </wp:positionV>
                  <wp:extent cx="1524000"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0E3F" w:rsidRDefault="009C0E3F" w:rsidP="009C0E3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9C0E3F" w:rsidRDefault="009C0E3F" w:rsidP="009C0E3F">
                              <w:pPr>
                                <w:rPr>
                                  <w:rFonts w:ascii="Ink Free" w:hAnsi="Ink Free"/>
                                  <w:sz w:val="18"/>
                                  <w:szCs w:val="18"/>
                                </w:rPr>
                              </w:pPr>
                              <w:r>
                                <w:rPr>
                                  <w:rFonts w:ascii="Ink Free" w:hAnsi="Ink Free"/>
                                  <w:sz w:val="18"/>
                                  <w:szCs w:val="18"/>
                                </w:rPr>
                                <w:t xml:space="preserve">RS   </w:t>
                              </w:r>
                              <w:r w:rsidR="00D36704">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C7BC1" id="_x0000_t202" coordsize="21600,21600" o:spt="202" path="m,l,21600r21600,l21600,xe">
                  <v:stroke joinstyle="miter"/>
                  <v:path gradientshapeok="t" o:connecttype="rect"/>
                </v:shapetype>
                <v:shape id="Text Box 1" o:spid="_x0000_s1026" type="#_x0000_t202" style="position:absolute;left:0;text-align:left;margin-left:392.95pt;margin-top:36.6pt;width:120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" stroked="f">
                  <v:textbox>
                    <w:txbxContent>
                      <w:p w:rsidR="009C0E3F" w:rsidRDefault="009C0E3F" w:rsidP="009C0E3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9C0E3F" w:rsidRDefault="009C0E3F" w:rsidP="009C0E3F">
                        <w:pPr>
                          <w:rPr>
                            <w:rFonts w:ascii="Ink Free" w:hAnsi="Ink Free"/>
                            <w:sz w:val="18"/>
                            <w:szCs w:val="18"/>
                          </w:rPr>
                        </w:pPr>
                        <w:r>
                          <w:rPr>
                            <w:rFonts w:ascii="Ink Free" w:hAnsi="Ink Free"/>
                            <w:sz w:val="18"/>
                            <w:szCs w:val="18"/>
                          </w:rPr>
                          <w:t xml:space="preserve">RS   </w:t>
                        </w:r>
                        <w:r w:rsidR="00D36704">
                          <w:rPr>
                            <w:rFonts w:ascii="Ink Free" w:hAnsi="Ink Free"/>
                            <w:sz w:val="18"/>
                            <w:szCs w:val="18"/>
                          </w:rPr>
                          <w:t xml:space="preserve">  10/27/2020</w:t>
                        </w:r>
                      </w:p>
                    </w:txbxContent>
                  </v:textbox>
                  <w10:wrap anchorx="margin"/>
                </v:shape>
              </w:pict>
            </mc:Fallback>
          </mc:AlternateContent>
        </w:r>
      </w:ins>
      <w:del w:id="43" w:author="Nguyen, Hoa" w:date="2020-10-08T17:40:00Z">
        <w:r w:rsidR="009D518E" w:rsidDel="009D518E">
          <w:rPr>
            <w:rFonts w:ascii="Arial" w:eastAsia="Arial" w:hAnsi="Arial" w:cs="Arial"/>
            <w:sz w:val="23"/>
          </w:rPr>
          <w:delText xml:space="preserve"> </w:delText>
        </w:r>
      </w:del>
    </w:p>
    <w:p w:rsidR="0030740C" w:rsidDel="009D518E" w:rsidRDefault="009D518E">
      <w:pPr>
        <w:spacing w:after="5" w:line="249" w:lineRule="auto"/>
        <w:ind w:left="7" w:right="85" w:hanging="10"/>
        <w:rPr>
          <w:del w:id="44" w:author="Nguyen, Hoa" w:date="2020-10-08T17:40:00Z"/>
        </w:rPr>
      </w:pPr>
      <w:del w:id="45" w:author="Nguyen, Hoa" w:date="2020-10-08T17:40:00Z">
        <w:r w:rsidDel="009D518E">
          <w:rPr>
            <w:rFonts w:ascii="Arial" w:eastAsia="Arial" w:hAnsi="Arial" w:cs="Arial"/>
            <w:sz w:val="23"/>
          </w:rPr>
          <w:lastRenderedPageBreak/>
          <w:delText xml:space="preserve">Departments will record this fee as revenue, Source Code 162100, Delinquent Receivables Cost Recoveries. </w:delText>
        </w:r>
      </w:del>
    </w:p>
    <w:p w:rsidR="0030740C" w:rsidDel="009D518E" w:rsidRDefault="009D518E">
      <w:pPr>
        <w:spacing w:after="0"/>
        <w:ind w:left="12"/>
        <w:rPr>
          <w:del w:id="46" w:author="Nguyen, Hoa" w:date="2020-10-08T17:40:00Z"/>
        </w:rPr>
      </w:pPr>
      <w:del w:id="47" w:author="Nguyen, Hoa" w:date="2020-10-08T17:40:00Z">
        <w:r w:rsidDel="009D518E">
          <w:rPr>
            <w:rFonts w:ascii="Arial" w:eastAsia="Arial" w:hAnsi="Arial" w:cs="Arial"/>
          </w:rPr>
          <w:delText xml:space="preserve"> </w:delText>
        </w:r>
      </w:del>
    </w:p>
    <w:p w:rsidR="0030740C" w:rsidDel="009D518E" w:rsidRDefault="009D518E">
      <w:pPr>
        <w:pStyle w:val="Heading1"/>
        <w:ind w:left="7" w:right="20"/>
        <w:rPr>
          <w:del w:id="48" w:author="Nguyen, Hoa" w:date="2020-10-08T17:40:00Z"/>
        </w:rPr>
      </w:pPr>
      <w:del w:id="49" w:author="Nguyen, Hoa" w:date="2020-10-08T17:40:00Z">
        <w:r w:rsidDel="009D518E">
          <w:delText>Collection Actions Review</w:delText>
        </w:r>
        <w:r w:rsidDel="009D518E">
          <w:rPr>
            <w:b w:val="0"/>
          </w:rPr>
          <w:delText xml:space="preserve"> </w:delText>
        </w:r>
      </w:del>
    </w:p>
    <w:p w:rsidR="0030740C" w:rsidDel="009D518E" w:rsidRDefault="009D518E">
      <w:pPr>
        <w:spacing w:after="0"/>
        <w:ind w:left="12"/>
        <w:rPr>
          <w:del w:id="50" w:author="Nguyen, Hoa" w:date="2020-10-08T17:40:00Z"/>
        </w:rPr>
      </w:pPr>
      <w:del w:id="51" w:author="Nguyen, Hoa" w:date="2020-10-08T17:40:00Z">
        <w:r w:rsidDel="009D518E">
          <w:rPr>
            <w:rFonts w:ascii="Arial" w:eastAsia="Arial" w:hAnsi="Arial" w:cs="Arial"/>
            <w:b/>
            <w:sz w:val="23"/>
          </w:rPr>
          <w:delText xml:space="preserve"> </w:delText>
        </w:r>
      </w:del>
    </w:p>
    <w:p w:rsidR="0030740C" w:rsidDel="009D518E" w:rsidRDefault="009D518E">
      <w:pPr>
        <w:spacing w:after="5" w:line="249" w:lineRule="auto"/>
        <w:ind w:left="7" w:hanging="10"/>
        <w:rPr>
          <w:del w:id="52" w:author="Nguyen, Hoa" w:date="2020-10-08T17:40:00Z"/>
        </w:rPr>
      </w:pPr>
      <w:del w:id="53" w:author="Nguyen, Hoa" w:date="2020-10-08T17:40:00Z">
        <w:r w:rsidDel="009D518E">
          <w:rPr>
            <w:rFonts w:ascii="Arial" w:eastAsia="Arial" w:hAnsi="Arial" w:cs="Arial"/>
            <w:sz w:val="23"/>
          </w:rPr>
          <w:delText xml:space="preserve">If the three collection letters are unsuccessful, departments will prepare a cost benefit analysis to determine the most efficient and effective collection method by initiating one or more of the following actions: </w:delText>
        </w:r>
      </w:del>
    </w:p>
    <w:p w:rsidR="0030740C" w:rsidDel="009D518E" w:rsidRDefault="009D518E">
      <w:pPr>
        <w:spacing w:after="0"/>
        <w:ind w:left="12"/>
        <w:rPr>
          <w:del w:id="54" w:author="Nguyen, Hoa" w:date="2020-10-08T17:40:00Z"/>
        </w:rPr>
      </w:pPr>
      <w:del w:id="55" w:author="Nguyen, Hoa" w:date="2020-10-08T17:40:00Z">
        <w:r w:rsidDel="009D518E">
          <w:rPr>
            <w:rFonts w:ascii="Arial" w:eastAsia="Arial" w:hAnsi="Arial" w:cs="Arial"/>
            <w:sz w:val="23"/>
          </w:rPr>
          <w:delText xml:space="preserve"> </w:delText>
        </w:r>
      </w:del>
    </w:p>
    <w:p w:rsidR="0030740C" w:rsidDel="009D518E" w:rsidRDefault="009D518E" w:rsidP="00630046">
      <w:pPr>
        <w:numPr>
          <w:ilvl w:val="0"/>
          <w:numId w:val="1"/>
        </w:numPr>
        <w:spacing w:after="5" w:line="249" w:lineRule="auto"/>
        <w:ind w:left="270" w:right="237" w:hanging="270"/>
        <w:rPr>
          <w:del w:id="56" w:author="Nguyen, Hoa" w:date="2020-10-08T17:40:00Z"/>
        </w:rPr>
      </w:pPr>
      <w:del w:id="57" w:author="Nguyen, Hoa" w:date="2020-10-08T17:40:00Z">
        <w:r w:rsidDel="009D518E">
          <w:rPr>
            <w:rFonts w:ascii="Arial" w:eastAsia="Arial" w:hAnsi="Arial" w:cs="Arial"/>
            <w:sz w:val="23"/>
          </w:rPr>
          <w:delText xml:space="preserve">Offset Procedures—An offset, is the interception and collection from amounts owed by other state departments to the debtor. For more offset information, see SAM section 8790. </w:delText>
        </w:r>
      </w:del>
    </w:p>
    <w:p w:rsidR="0030740C" w:rsidDel="009D518E" w:rsidRDefault="009D518E" w:rsidP="00630046">
      <w:pPr>
        <w:spacing w:after="0"/>
        <w:ind w:left="270" w:hanging="270"/>
        <w:rPr>
          <w:del w:id="58" w:author="Nguyen, Hoa" w:date="2020-10-08T17:40:00Z"/>
        </w:rPr>
      </w:pPr>
      <w:del w:id="59" w:author="Nguyen, Hoa" w:date="2020-10-08T17:40:00Z">
        <w:r w:rsidDel="009D518E">
          <w:rPr>
            <w:rFonts w:ascii="Arial" w:eastAsia="Arial" w:hAnsi="Arial" w:cs="Arial"/>
          </w:rPr>
          <w:delText xml:space="preserve"> </w:delText>
        </w:r>
      </w:del>
    </w:p>
    <w:p w:rsidR="0030740C" w:rsidDel="009D518E" w:rsidRDefault="009D518E" w:rsidP="00630046">
      <w:pPr>
        <w:numPr>
          <w:ilvl w:val="0"/>
          <w:numId w:val="1"/>
        </w:numPr>
        <w:spacing w:after="5" w:line="249" w:lineRule="auto"/>
        <w:ind w:left="270" w:right="237" w:hanging="270"/>
        <w:rPr>
          <w:del w:id="60" w:author="Nguyen, Hoa" w:date="2020-10-08T17:40:00Z"/>
        </w:rPr>
      </w:pPr>
      <w:del w:id="61" w:author="Nguyen, Hoa" w:date="2020-10-08T17:40:00Z">
        <w:r w:rsidDel="009D518E">
          <w:rPr>
            <w:rFonts w:ascii="Arial" w:eastAsia="Arial" w:hAnsi="Arial" w:cs="Arial"/>
            <w:sz w:val="23"/>
          </w:rPr>
          <w:delText xml:space="preserve">Court Settlements—There may be instances where it would be cost effective for departments to seek court judgments against debtors. Departments should consider the possibility of filing action in small claims courts. For larger sums, department counsel should be consulted for advice. </w:delText>
        </w:r>
      </w:del>
    </w:p>
    <w:p w:rsidR="0030740C" w:rsidDel="009D518E" w:rsidRDefault="009D518E">
      <w:pPr>
        <w:spacing w:after="0"/>
        <w:ind w:left="12"/>
        <w:rPr>
          <w:del w:id="62" w:author="Nguyen, Hoa" w:date="2020-10-08T17:40:00Z"/>
        </w:rPr>
      </w:pPr>
      <w:del w:id="63" w:author="Nguyen, Hoa" w:date="2020-10-08T17:40:00Z">
        <w:r w:rsidDel="009D518E">
          <w:rPr>
            <w:rFonts w:ascii="Arial" w:eastAsia="Arial" w:hAnsi="Arial" w:cs="Arial"/>
          </w:rPr>
          <w:delText xml:space="preserve"> </w:delText>
        </w:r>
      </w:del>
    </w:p>
    <w:p w:rsidR="0030740C" w:rsidRPr="00630046" w:rsidDel="009D518E" w:rsidRDefault="009D518E" w:rsidP="003D5332">
      <w:pPr>
        <w:numPr>
          <w:ilvl w:val="0"/>
          <w:numId w:val="1"/>
        </w:numPr>
        <w:spacing w:after="5" w:line="249" w:lineRule="auto"/>
        <w:ind w:left="270" w:right="237" w:hanging="270"/>
        <w:rPr>
          <w:del w:id="64" w:author="Nguyen, Hoa" w:date="2020-10-08T17:40:00Z"/>
          <w:rFonts w:ascii="Arial" w:eastAsia="Arial" w:hAnsi="Arial" w:cs="Arial"/>
          <w:sz w:val="23"/>
        </w:rPr>
      </w:pPr>
      <w:del w:id="65" w:author="Nguyen, Hoa" w:date="2020-10-08T17:40:00Z">
        <w:r w:rsidRPr="00630046" w:rsidDel="009D518E">
          <w:rPr>
            <w:rFonts w:ascii="Arial" w:eastAsia="Arial" w:hAnsi="Arial" w:cs="Arial"/>
            <w:sz w:val="23"/>
          </w:rPr>
          <w:delText xml:space="preserve">Collection Agencies—Departments may consider contracting with another department that has a collection unit or with an outside collection agency. </w:delText>
        </w:r>
      </w:del>
    </w:p>
    <w:p w:rsidR="0030740C" w:rsidDel="009D518E" w:rsidRDefault="009D518E">
      <w:pPr>
        <w:spacing w:after="0"/>
        <w:ind w:left="732"/>
        <w:rPr>
          <w:del w:id="66" w:author="Nguyen, Hoa" w:date="2020-10-08T17:40:00Z"/>
        </w:rPr>
      </w:pPr>
      <w:del w:id="67" w:author="Nguyen, Hoa" w:date="2020-10-08T17:40:00Z">
        <w:r w:rsidDel="009D518E">
          <w:rPr>
            <w:rFonts w:ascii="Arial" w:eastAsia="Arial" w:hAnsi="Arial" w:cs="Arial"/>
            <w:sz w:val="25"/>
          </w:rPr>
          <w:delText xml:space="preserve"> </w:delText>
        </w:r>
      </w:del>
    </w:p>
    <w:p w:rsidR="0030740C" w:rsidRPr="00630046" w:rsidDel="009D518E" w:rsidRDefault="009D518E" w:rsidP="00630046">
      <w:pPr>
        <w:spacing w:after="5" w:line="249" w:lineRule="auto"/>
        <w:ind w:left="270"/>
        <w:rPr>
          <w:del w:id="68" w:author="Nguyen, Hoa" w:date="2020-10-08T17:40:00Z"/>
          <w:rFonts w:ascii="Arial" w:hAnsi="Arial" w:cs="Arial"/>
          <w:sz w:val="23"/>
          <w:szCs w:val="23"/>
        </w:rPr>
      </w:pPr>
      <w:del w:id="69" w:author="Nguyen, Hoa" w:date="2020-10-08T17:40:00Z">
        <w:r w:rsidRPr="00630046" w:rsidDel="009D518E">
          <w:rPr>
            <w:rFonts w:ascii="Arial" w:eastAsia="Arial" w:hAnsi="Arial" w:cs="Arial"/>
            <w:sz w:val="23"/>
            <w:szCs w:val="23"/>
          </w:rPr>
          <w:delText xml:space="preserve">The </w:delText>
        </w:r>
        <w:r w:rsidRPr="00630046" w:rsidDel="009D518E">
          <w:rPr>
            <w:rFonts w:ascii="Arial" w:hAnsi="Arial" w:cs="Arial"/>
            <w:sz w:val="23"/>
            <w:szCs w:val="23"/>
          </w:rPr>
          <w:fldChar w:fldCharType="begin"/>
        </w:r>
        <w:r w:rsidRPr="00630046" w:rsidDel="009D518E">
          <w:rPr>
            <w:rFonts w:ascii="Arial" w:hAnsi="Arial" w:cs="Arial"/>
            <w:sz w:val="23"/>
            <w:szCs w:val="23"/>
          </w:rPr>
          <w:delInstrText xml:space="preserve"> HYPERLINK "http://www.dgs.ca.gov/ols/Resources/StateContractManual.aspx" \h </w:delInstrText>
        </w:r>
        <w:r w:rsidRPr="00630046" w:rsidDel="009D518E">
          <w:rPr>
            <w:rFonts w:ascii="Arial" w:hAnsi="Arial" w:cs="Arial"/>
            <w:sz w:val="23"/>
            <w:szCs w:val="23"/>
          </w:rPr>
          <w:fldChar w:fldCharType="separate"/>
        </w:r>
        <w:r w:rsidRPr="00630046" w:rsidDel="009D518E">
          <w:rPr>
            <w:rFonts w:ascii="Arial" w:eastAsia="Arial" w:hAnsi="Arial" w:cs="Arial"/>
            <w:color w:val="0000FF"/>
            <w:sz w:val="23"/>
            <w:szCs w:val="23"/>
            <w:u w:val="single" w:color="0000FF"/>
          </w:rPr>
          <w:delText>State Contracting Manual</w:delText>
        </w:r>
        <w:r w:rsidRPr="00630046" w:rsidDel="009D518E">
          <w:rPr>
            <w:rFonts w:ascii="Arial" w:eastAsia="Arial" w:hAnsi="Arial" w:cs="Arial"/>
            <w:color w:val="0000FF"/>
            <w:sz w:val="23"/>
            <w:szCs w:val="23"/>
            <w:u w:val="single" w:color="0000FF"/>
          </w:rPr>
          <w:fldChar w:fldCharType="end"/>
        </w:r>
        <w:r w:rsidRPr="00630046" w:rsidDel="009D518E">
          <w:rPr>
            <w:rFonts w:ascii="Arial" w:hAnsi="Arial" w:cs="Arial"/>
            <w:sz w:val="23"/>
            <w:szCs w:val="23"/>
          </w:rPr>
          <w:fldChar w:fldCharType="begin"/>
        </w:r>
        <w:r w:rsidRPr="00630046" w:rsidDel="009D518E">
          <w:rPr>
            <w:rFonts w:ascii="Arial" w:hAnsi="Arial" w:cs="Arial"/>
            <w:sz w:val="23"/>
            <w:szCs w:val="23"/>
          </w:rPr>
          <w:delInstrText xml:space="preserve"> HYPERLINK "http://www.dgs.ca.gov/ols/Resources/StateContractManual.aspx" \h </w:delInstrText>
        </w:r>
        <w:r w:rsidRPr="00630046" w:rsidDel="009D518E">
          <w:rPr>
            <w:rFonts w:ascii="Arial" w:hAnsi="Arial" w:cs="Arial"/>
            <w:sz w:val="23"/>
            <w:szCs w:val="23"/>
          </w:rPr>
          <w:fldChar w:fldCharType="separate"/>
        </w:r>
        <w:r w:rsidRPr="00630046" w:rsidDel="009D518E">
          <w:rPr>
            <w:rFonts w:ascii="Arial" w:eastAsia="Arial" w:hAnsi="Arial" w:cs="Arial"/>
            <w:sz w:val="23"/>
            <w:szCs w:val="23"/>
          </w:rPr>
          <w:delText>,</w:delText>
        </w:r>
        <w:r w:rsidRPr="00630046" w:rsidDel="009D518E">
          <w:rPr>
            <w:rFonts w:ascii="Arial" w:eastAsia="Arial" w:hAnsi="Arial" w:cs="Arial"/>
            <w:sz w:val="23"/>
            <w:szCs w:val="23"/>
          </w:rPr>
          <w:fldChar w:fldCharType="end"/>
        </w:r>
        <w:r w:rsidRPr="00630046" w:rsidDel="009D518E">
          <w:rPr>
            <w:rFonts w:ascii="Arial" w:eastAsia="Arial" w:hAnsi="Arial" w:cs="Arial"/>
            <w:sz w:val="23"/>
            <w:szCs w:val="23"/>
          </w:rPr>
          <w:delText xml:space="preserve"> the Public Contract Code section applicable to contracts for services, and GC section </w:delText>
        </w:r>
        <w:r w:rsidRPr="00630046" w:rsidDel="009D518E">
          <w:rPr>
            <w:rFonts w:ascii="Arial" w:hAnsi="Arial" w:cs="Arial"/>
            <w:sz w:val="23"/>
            <w:szCs w:val="23"/>
          </w:rPr>
          <w:fldChar w:fldCharType="begin"/>
        </w:r>
        <w:r w:rsidRPr="00630046" w:rsidDel="009D518E">
          <w:rPr>
            <w:rFonts w:ascii="Arial" w:hAnsi="Arial" w:cs="Arial"/>
            <w:sz w:val="23"/>
            <w:szCs w:val="23"/>
          </w:rPr>
          <w:delInstrText xml:space="preserve"> HYPERLINK "http://leginfo.legislature.ca.gov/faces/codes_displaySection.xhtml?lawCode=GOV&amp;amp;sectionNum=19130" \h </w:delInstrText>
        </w:r>
        <w:r w:rsidRPr="00630046" w:rsidDel="009D518E">
          <w:rPr>
            <w:rFonts w:ascii="Arial" w:hAnsi="Arial" w:cs="Arial"/>
            <w:sz w:val="23"/>
            <w:szCs w:val="23"/>
          </w:rPr>
          <w:fldChar w:fldCharType="separate"/>
        </w:r>
        <w:r w:rsidRPr="00630046" w:rsidDel="009D518E">
          <w:rPr>
            <w:rFonts w:ascii="Arial" w:eastAsia="Arial" w:hAnsi="Arial" w:cs="Arial"/>
            <w:color w:val="0000FF"/>
            <w:sz w:val="23"/>
            <w:szCs w:val="23"/>
            <w:u w:val="single" w:color="0000FF"/>
          </w:rPr>
          <w:delText xml:space="preserve">19130 </w:delText>
        </w:r>
        <w:r w:rsidRPr="00630046" w:rsidDel="009D518E">
          <w:rPr>
            <w:rFonts w:ascii="Arial" w:eastAsia="Arial" w:hAnsi="Arial" w:cs="Arial"/>
            <w:color w:val="0000FF"/>
            <w:sz w:val="23"/>
            <w:szCs w:val="23"/>
            <w:u w:val="single" w:color="0000FF"/>
          </w:rPr>
          <w:fldChar w:fldCharType="end"/>
        </w:r>
        <w:r w:rsidRPr="00630046" w:rsidDel="009D518E">
          <w:rPr>
            <w:rFonts w:ascii="Arial" w:hAnsi="Arial" w:cs="Arial"/>
            <w:sz w:val="23"/>
            <w:szCs w:val="23"/>
          </w:rPr>
          <w:fldChar w:fldCharType="begin"/>
        </w:r>
        <w:r w:rsidRPr="00630046" w:rsidDel="009D518E">
          <w:rPr>
            <w:rFonts w:ascii="Arial" w:hAnsi="Arial" w:cs="Arial"/>
            <w:sz w:val="23"/>
            <w:szCs w:val="23"/>
          </w:rPr>
          <w:delInstrText xml:space="preserve"> HYPERLINK "http://leginfo.legislature.ca.gov/faces/codes_displaySection.xhtml?lawCode=GOV&amp;amp;sectionNum=19130" \h </w:delInstrText>
        </w:r>
        <w:r w:rsidRPr="00630046" w:rsidDel="009D518E">
          <w:rPr>
            <w:rFonts w:ascii="Arial" w:hAnsi="Arial" w:cs="Arial"/>
            <w:sz w:val="23"/>
            <w:szCs w:val="23"/>
          </w:rPr>
          <w:fldChar w:fldCharType="separate"/>
        </w:r>
        <w:r w:rsidRPr="00630046" w:rsidDel="009D518E">
          <w:rPr>
            <w:rFonts w:ascii="Arial" w:eastAsia="Arial" w:hAnsi="Arial" w:cs="Arial"/>
            <w:sz w:val="23"/>
            <w:szCs w:val="23"/>
          </w:rPr>
          <w:delText>s</w:delText>
        </w:r>
        <w:r w:rsidRPr="00630046" w:rsidDel="009D518E">
          <w:rPr>
            <w:rFonts w:ascii="Arial" w:eastAsia="Arial" w:hAnsi="Arial" w:cs="Arial"/>
            <w:sz w:val="23"/>
            <w:szCs w:val="23"/>
          </w:rPr>
          <w:fldChar w:fldCharType="end"/>
        </w:r>
        <w:r w:rsidRPr="00630046" w:rsidDel="009D518E">
          <w:rPr>
            <w:rFonts w:ascii="Arial" w:eastAsia="Arial" w:hAnsi="Arial" w:cs="Arial"/>
            <w:sz w:val="23"/>
            <w:szCs w:val="23"/>
          </w:rPr>
          <w:delText xml:space="preserve">hould be reviewed when a department is considering contracting with a collection agency. Any contract made with a collection agency must specify that all funds collected on behalf of a department will be remitted to that department. The collection agency can then be paid in one of several ways for its services - by a set fee per collection, on an hourly basis, or on a percentage basis, in arrears, based on services rendered. </w:delText>
        </w:r>
      </w:del>
    </w:p>
    <w:p w:rsidR="0030740C" w:rsidRPr="00630046" w:rsidDel="009D518E" w:rsidRDefault="009D518E" w:rsidP="00630046">
      <w:pPr>
        <w:pStyle w:val="NoSpacing"/>
        <w:rPr>
          <w:del w:id="70" w:author="Nguyen, Hoa" w:date="2020-10-08T17:40:00Z"/>
        </w:rPr>
      </w:pPr>
      <w:del w:id="71" w:author="Nguyen, Hoa" w:date="2020-10-08T17:40:00Z">
        <w:r w:rsidRPr="00630046" w:rsidDel="009D518E">
          <w:delText xml:space="preserve"> </w:delText>
        </w:r>
      </w:del>
    </w:p>
    <w:p w:rsidR="0030740C" w:rsidRPr="00630046" w:rsidDel="009D518E" w:rsidRDefault="009D518E" w:rsidP="00630046">
      <w:pPr>
        <w:spacing w:after="111" w:line="249" w:lineRule="auto"/>
        <w:ind w:left="270" w:right="270"/>
        <w:rPr>
          <w:del w:id="72" w:author="Nguyen, Hoa" w:date="2020-10-08T17:40:00Z"/>
          <w:rFonts w:ascii="Arial" w:hAnsi="Arial" w:cs="Arial"/>
          <w:sz w:val="23"/>
          <w:szCs w:val="23"/>
        </w:rPr>
      </w:pPr>
      <w:del w:id="73" w:author="Nguyen, Hoa" w:date="2020-10-08T17:40:00Z">
        <w:r w:rsidRPr="00630046" w:rsidDel="009D518E">
          <w:rPr>
            <w:rFonts w:ascii="Arial" w:eastAsia="Arial" w:hAnsi="Arial" w:cs="Arial"/>
            <w:sz w:val="23"/>
            <w:szCs w:val="23"/>
          </w:rPr>
          <w:delText xml:space="preserve">Prior to assigning the debt to a collection agency, departments are required by law to notify the debtor in writing at the address of record that the alleged AR debt will be turned over for private collection unless the debt is paid or appealed within a specified time period. </w:delText>
        </w:r>
      </w:del>
    </w:p>
    <w:p w:rsidR="0030740C" w:rsidRPr="00630046" w:rsidDel="009D518E" w:rsidRDefault="009D518E" w:rsidP="00630046">
      <w:pPr>
        <w:spacing w:after="11" w:line="240" w:lineRule="auto"/>
        <w:ind w:left="270" w:right="366"/>
        <w:jc w:val="both"/>
        <w:rPr>
          <w:del w:id="74" w:author="Nguyen, Hoa" w:date="2020-10-08T17:40:00Z"/>
          <w:rFonts w:ascii="Arial" w:hAnsi="Arial" w:cs="Arial"/>
          <w:sz w:val="23"/>
          <w:szCs w:val="23"/>
        </w:rPr>
      </w:pPr>
      <w:del w:id="75" w:author="Nguyen, Hoa" w:date="2020-10-08T17:40:00Z">
        <w:r w:rsidRPr="00630046" w:rsidDel="009D518E">
          <w:rPr>
            <w:rFonts w:ascii="Arial" w:eastAsia="Arial" w:hAnsi="Arial" w:cs="Arial"/>
            <w:sz w:val="23"/>
            <w:szCs w:val="23"/>
          </w:rPr>
          <w:delText xml:space="preserve">Sale of ARs—Departments are authorized to sell ARs to private persons or entities. Departments will record the net income from the sale in their accounting records. Specific accounting entries for the sale of ARs are detailed in  SAM section 10536, Standard Entry No. 36. </w:delText>
        </w:r>
      </w:del>
    </w:p>
    <w:p w:rsidR="0030740C" w:rsidRPr="00630046" w:rsidDel="009D518E" w:rsidRDefault="009D518E" w:rsidP="00630046">
      <w:pPr>
        <w:spacing w:after="0"/>
        <w:ind w:left="270"/>
        <w:rPr>
          <w:del w:id="76" w:author="Nguyen, Hoa" w:date="2020-10-08T17:40:00Z"/>
          <w:rFonts w:ascii="Arial" w:hAnsi="Arial" w:cs="Arial"/>
          <w:sz w:val="23"/>
          <w:szCs w:val="23"/>
        </w:rPr>
      </w:pPr>
      <w:del w:id="77" w:author="Nguyen, Hoa" w:date="2020-10-08T17:40:00Z">
        <w:r w:rsidRPr="00630046" w:rsidDel="009D518E">
          <w:rPr>
            <w:rFonts w:ascii="Arial" w:eastAsia="Arial" w:hAnsi="Arial" w:cs="Arial"/>
            <w:sz w:val="23"/>
            <w:szCs w:val="23"/>
          </w:rPr>
          <w:delText xml:space="preserve"> </w:delText>
        </w:r>
      </w:del>
    </w:p>
    <w:p w:rsidR="0030740C" w:rsidRPr="00630046" w:rsidDel="009D518E" w:rsidRDefault="009D518E" w:rsidP="00630046">
      <w:pPr>
        <w:spacing w:after="111" w:line="249" w:lineRule="auto"/>
        <w:ind w:left="270" w:right="270"/>
        <w:rPr>
          <w:del w:id="78" w:author="Nguyen, Hoa" w:date="2020-10-08T17:40:00Z"/>
          <w:rFonts w:ascii="Arial" w:hAnsi="Arial" w:cs="Arial"/>
          <w:sz w:val="23"/>
          <w:szCs w:val="23"/>
        </w:rPr>
      </w:pPr>
      <w:del w:id="79" w:author="Nguyen, Hoa" w:date="2020-10-08T17:40:00Z">
        <w:r w:rsidRPr="00630046" w:rsidDel="009D518E">
          <w:rPr>
            <w:rFonts w:ascii="Arial" w:eastAsia="Arial" w:hAnsi="Arial" w:cs="Arial"/>
            <w:sz w:val="23"/>
            <w:szCs w:val="23"/>
          </w:rPr>
          <w:delText xml:space="preserve">Prior to selling the debt, departments are required by law to notify the debtor in writing, at the address of record, that the alleged AR debt will be turned over for private collection unless the debt is paid or appealed within a specified time period. </w:delText>
        </w:r>
      </w:del>
    </w:p>
    <w:p w:rsidR="00630046" w:rsidRDefault="00630046">
      <w:pPr>
        <w:rPr>
          <w:rFonts w:ascii="Arial" w:eastAsia="Arial" w:hAnsi="Arial" w:cs="Arial"/>
          <w:sz w:val="24"/>
        </w:rPr>
      </w:pPr>
      <w:ins w:id="80" w:author="Nguyen, Hoa" w:date="2020-10-15T14:02:00Z">
        <w:r>
          <w:rPr>
            <w:noProof/>
          </w:rPr>
          <mc:AlternateContent>
            <mc:Choice Requires="wps">
              <w:drawing>
                <wp:anchor distT="45720" distB="45720" distL="114300" distR="114300" simplePos="0" relativeHeight="251661312" behindDoc="1" locked="0" layoutInCell="1" allowOverlap="1" wp14:anchorId="2A3C7BC1" wp14:editId="6D645DDF">
                  <wp:simplePos x="0" y="0"/>
                  <wp:positionH relativeFrom="margin">
                    <wp:align>right</wp:align>
                  </wp:positionH>
                  <wp:positionV relativeFrom="paragraph">
                    <wp:posOffset>325755</wp:posOffset>
                  </wp:positionV>
                  <wp:extent cx="1247775" cy="5143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0E3F" w:rsidRDefault="009C0E3F" w:rsidP="009C0E3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9C0E3F" w:rsidRDefault="009C0E3F" w:rsidP="009C0E3F">
                              <w:pPr>
                                <w:rPr>
                                  <w:rFonts w:ascii="Ink Free" w:hAnsi="Ink Free"/>
                                  <w:sz w:val="18"/>
                                  <w:szCs w:val="18"/>
                                </w:rPr>
                              </w:pPr>
                              <w:r>
                                <w:rPr>
                                  <w:rFonts w:ascii="Ink Free" w:hAnsi="Ink Free"/>
                                  <w:sz w:val="18"/>
                                  <w:szCs w:val="18"/>
                                </w:rPr>
                                <w:t xml:space="preserve">RS   </w:t>
                              </w:r>
                              <w:r w:rsidR="00630046">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C7BC1" id="Text Box 2" o:spid="_x0000_s1027" type="#_x0000_t202" style="position:absolute;margin-left:47.05pt;margin-top:25.65pt;width:98.25pt;height:40.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" stroked="f">
                  <v:textbox>
                    <w:txbxContent>
                      <w:p w:rsidR="009C0E3F" w:rsidRDefault="009C0E3F" w:rsidP="009C0E3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9C0E3F" w:rsidRDefault="009C0E3F" w:rsidP="009C0E3F">
                        <w:pPr>
                          <w:rPr>
                            <w:rFonts w:ascii="Ink Free" w:hAnsi="Ink Free"/>
                            <w:sz w:val="18"/>
                            <w:szCs w:val="18"/>
                          </w:rPr>
                        </w:pPr>
                        <w:r>
                          <w:rPr>
                            <w:rFonts w:ascii="Ink Free" w:hAnsi="Ink Free"/>
                            <w:sz w:val="18"/>
                            <w:szCs w:val="18"/>
                          </w:rPr>
                          <w:t xml:space="preserve">RS   </w:t>
                        </w:r>
                        <w:r w:rsidR="00630046">
                          <w:rPr>
                            <w:rFonts w:ascii="Ink Free" w:hAnsi="Ink Free"/>
                            <w:sz w:val="18"/>
                            <w:szCs w:val="18"/>
                          </w:rPr>
                          <w:t xml:space="preserve">  10/27/2020</w:t>
                        </w:r>
                      </w:p>
                    </w:txbxContent>
                  </v:textbox>
                  <w10:wrap anchorx="margin"/>
                </v:shape>
              </w:pict>
            </mc:Fallback>
          </mc:AlternateContent>
        </w:r>
      </w:ins>
      <w:r>
        <w:rPr>
          <w:rFonts w:ascii="Arial" w:eastAsia="Arial" w:hAnsi="Arial" w:cs="Arial"/>
          <w:sz w:val="24"/>
        </w:rPr>
        <w:br w:type="page"/>
      </w:r>
    </w:p>
    <w:p w:rsidR="0030740C" w:rsidDel="009D518E" w:rsidRDefault="009D518E">
      <w:pPr>
        <w:spacing w:after="92" w:line="249" w:lineRule="auto"/>
        <w:ind w:left="7" w:right="270" w:hanging="10"/>
        <w:rPr>
          <w:del w:id="81" w:author="Nguyen, Hoa" w:date="2020-10-08T17:40:00Z"/>
        </w:rPr>
      </w:pPr>
      <w:del w:id="82" w:author="Nguyen, Hoa" w:date="2020-10-08T17:40:00Z">
        <w:r w:rsidDel="009D518E">
          <w:rPr>
            <w:rFonts w:ascii="Arial" w:eastAsia="Arial" w:hAnsi="Arial" w:cs="Arial"/>
            <w:sz w:val="24"/>
          </w:rPr>
          <w:lastRenderedPageBreak/>
          <w:delText xml:space="preserve">Departments will select the collection actions that are likely to generate the highest net income and do not compromise future state income collections. In addition, departments should consult with the Franchise Tax Board or any other state department that has successfully established an effective AR collection system to develop methods for improving their collection rate. </w:delText>
        </w:r>
      </w:del>
    </w:p>
    <w:p w:rsidR="00D36704" w:rsidRDefault="00D36704">
      <w:pPr>
        <w:spacing w:after="0"/>
        <w:ind w:left="10"/>
        <w:rPr>
          <w:rFonts w:ascii="Arial" w:eastAsia="Arial" w:hAnsi="Arial" w:cs="Arial"/>
          <w:b/>
          <w:sz w:val="24"/>
        </w:rPr>
      </w:pPr>
    </w:p>
    <w:p w:rsidR="0030740C" w:rsidDel="009D518E" w:rsidRDefault="009D518E">
      <w:pPr>
        <w:spacing w:after="0"/>
        <w:ind w:left="10"/>
        <w:rPr>
          <w:del w:id="83" w:author="Nguyen, Hoa" w:date="2020-10-08T17:40:00Z"/>
        </w:rPr>
      </w:pPr>
      <w:del w:id="84" w:author="Nguyen, Hoa" w:date="2020-10-08T17:40:00Z">
        <w:r w:rsidDel="009D518E">
          <w:rPr>
            <w:rFonts w:ascii="Arial" w:eastAsia="Arial" w:hAnsi="Arial" w:cs="Arial"/>
            <w:b/>
            <w:sz w:val="24"/>
          </w:rPr>
          <w:delText>Discharge from Accountability</w:delText>
        </w:r>
        <w:r w:rsidDel="009D518E">
          <w:rPr>
            <w:rFonts w:ascii="Arial" w:eastAsia="Arial" w:hAnsi="Arial" w:cs="Arial"/>
            <w:sz w:val="24"/>
          </w:rPr>
          <w:delText xml:space="preserve"> </w:delText>
        </w:r>
      </w:del>
    </w:p>
    <w:p w:rsidR="0030740C" w:rsidDel="009D518E" w:rsidRDefault="009D518E">
      <w:pPr>
        <w:spacing w:after="0"/>
        <w:ind w:left="10"/>
        <w:rPr>
          <w:del w:id="85" w:author="Nguyen, Hoa" w:date="2020-10-08T17:40:00Z"/>
        </w:rPr>
      </w:pPr>
      <w:del w:id="86" w:author="Nguyen, Hoa" w:date="2020-10-08T17:40:00Z">
        <w:r w:rsidDel="009D518E">
          <w:rPr>
            <w:rFonts w:ascii="Arial" w:eastAsia="Arial" w:hAnsi="Arial" w:cs="Arial"/>
            <w:b/>
            <w:sz w:val="24"/>
          </w:rPr>
          <w:delText xml:space="preserve"> </w:delText>
        </w:r>
      </w:del>
    </w:p>
    <w:p w:rsidR="0030740C" w:rsidDel="009D518E" w:rsidRDefault="009D518E">
      <w:pPr>
        <w:spacing w:after="113" w:line="249" w:lineRule="auto"/>
        <w:ind w:left="7" w:hanging="10"/>
        <w:rPr>
          <w:del w:id="87" w:author="Nguyen, Hoa" w:date="2020-10-08T17:40:00Z"/>
        </w:rPr>
      </w:pPr>
      <w:del w:id="88" w:author="Nguyen, Hoa" w:date="2020-10-08T17:40:00Z">
        <w:r w:rsidDel="009D518E">
          <w:rPr>
            <w:rFonts w:ascii="Arial" w:eastAsia="Arial" w:hAnsi="Arial" w:cs="Arial"/>
            <w:sz w:val="24"/>
          </w:rPr>
          <w:delText xml:space="preserve">If all reasonable collection procedures do not result in payment, departments may request discharge from accountability of uncollectable amounts due from private entities. Departments will review their AR, no less than quarterly, to identify receivables for discharge. If departments have identified receivables for discharge, departments will file an Application for Discharge from Accountability form, </w:delText>
        </w:r>
        <w:r w:rsidDel="009D518E">
          <w:fldChar w:fldCharType="begin"/>
        </w:r>
        <w:r w:rsidDel="009D518E">
          <w:delInstrText xml:space="preserve"> HYPERLINK "http://www.documents.dgs.ca.gov/dgs/fmc/pdf/std027.pdf" \h </w:delInstrText>
        </w:r>
        <w:r w:rsidDel="009D518E">
          <w:fldChar w:fldCharType="separate"/>
        </w:r>
        <w:r w:rsidDel="009D518E">
          <w:rPr>
            <w:rFonts w:ascii="Arial" w:eastAsia="Arial" w:hAnsi="Arial" w:cs="Arial"/>
            <w:color w:val="0000FF"/>
            <w:sz w:val="24"/>
            <w:u w:val="single" w:color="0000FF"/>
          </w:rPr>
          <w:delText>STD. 27</w:delText>
        </w:r>
        <w:r w:rsidDel="009D518E">
          <w:rPr>
            <w:rFonts w:ascii="Arial" w:eastAsia="Arial" w:hAnsi="Arial" w:cs="Arial"/>
            <w:color w:val="0000FF"/>
            <w:sz w:val="24"/>
            <w:u w:val="single" w:color="0000FF"/>
          </w:rPr>
          <w:fldChar w:fldCharType="end"/>
        </w:r>
        <w:r w:rsidDel="009D518E">
          <w:fldChar w:fldCharType="begin"/>
        </w:r>
        <w:r w:rsidDel="009D518E">
          <w:delInstrText xml:space="preserve"> HYPERLINK "http://www.documents.dgs.ca.gov/dgs/fmc/pdf/std027.pdf" \h </w:delInstrText>
        </w:r>
        <w:r w:rsidDel="009D518E">
          <w:fldChar w:fldCharType="separate"/>
        </w:r>
        <w:r w:rsidDel="009D518E">
          <w:rPr>
            <w:rFonts w:ascii="Arial" w:eastAsia="Arial" w:hAnsi="Arial" w:cs="Arial"/>
            <w:sz w:val="24"/>
          </w:rPr>
          <w:delText>,</w:delText>
        </w:r>
        <w:r w:rsidDel="009D518E">
          <w:rPr>
            <w:rFonts w:ascii="Arial" w:eastAsia="Arial" w:hAnsi="Arial" w:cs="Arial"/>
            <w:sz w:val="24"/>
          </w:rPr>
          <w:fldChar w:fldCharType="end"/>
        </w:r>
        <w:r w:rsidDel="009D518E">
          <w:rPr>
            <w:rFonts w:ascii="Arial" w:eastAsia="Arial" w:hAnsi="Arial" w:cs="Arial"/>
            <w:sz w:val="24"/>
          </w:rPr>
          <w:delText xml:space="preserve"> with the SCO, Division of Accounting and Reporting. Applications for Discharge from Accountability of uncollectable amounts of more than $10,000 will be filed separately from applications for amounts of $10,000 or less. The $10,000 amount applies to the total of all amounts owed by the debtor, not to each invoice. The application for discharge shall include: </w:delText>
        </w:r>
      </w:del>
    </w:p>
    <w:p w:rsidR="0030740C" w:rsidDel="009D518E" w:rsidRDefault="009D518E" w:rsidP="00D36704">
      <w:pPr>
        <w:numPr>
          <w:ilvl w:val="0"/>
          <w:numId w:val="2"/>
        </w:numPr>
        <w:spacing w:after="29" w:line="249" w:lineRule="auto"/>
        <w:ind w:left="540" w:right="270" w:hanging="450"/>
        <w:rPr>
          <w:del w:id="89" w:author="Nguyen, Hoa" w:date="2020-10-08T17:40:00Z"/>
        </w:rPr>
      </w:pPr>
      <w:del w:id="90" w:author="Nguyen, Hoa" w:date="2020-10-08T17:40:00Z">
        <w:r w:rsidDel="009D518E">
          <w:rPr>
            <w:rFonts w:ascii="Arial" w:eastAsia="Arial" w:hAnsi="Arial" w:cs="Arial"/>
            <w:sz w:val="24"/>
          </w:rPr>
          <w:delText xml:space="preserve">Statement of the nature of the amount due </w:delText>
        </w:r>
      </w:del>
    </w:p>
    <w:p w:rsidR="0030740C" w:rsidDel="009D518E" w:rsidRDefault="009D518E" w:rsidP="00D36704">
      <w:pPr>
        <w:numPr>
          <w:ilvl w:val="0"/>
          <w:numId w:val="2"/>
        </w:numPr>
        <w:spacing w:after="29" w:line="249" w:lineRule="auto"/>
        <w:ind w:left="540" w:right="270" w:hanging="450"/>
        <w:rPr>
          <w:del w:id="91" w:author="Nguyen, Hoa" w:date="2020-10-08T17:40:00Z"/>
        </w:rPr>
      </w:pPr>
      <w:del w:id="92" w:author="Nguyen, Hoa" w:date="2020-10-08T17:40:00Z">
        <w:r w:rsidDel="009D518E">
          <w:rPr>
            <w:rFonts w:ascii="Arial" w:eastAsia="Arial" w:hAnsi="Arial" w:cs="Arial"/>
            <w:sz w:val="24"/>
          </w:rPr>
          <w:delText xml:space="preserve">Name(s) of the person(s) liable </w:delText>
        </w:r>
      </w:del>
    </w:p>
    <w:p w:rsidR="0030740C" w:rsidDel="009D518E" w:rsidRDefault="009D518E" w:rsidP="00D36704">
      <w:pPr>
        <w:numPr>
          <w:ilvl w:val="0"/>
          <w:numId w:val="2"/>
        </w:numPr>
        <w:spacing w:after="29" w:line="249" w:lineRule="auto"/>
        <w:ind w:left="540" w:right="270" w:hanging="450"/>
        <w:rPr>
          <w:del w:id="93" w:author="Nguyen, Hoa" w:date="2020-10-08T17:40:00Z"/>
        </w:rPr>
      </w:pPr>
      <w:del w:id="94" w:author="Nguyen, Hoa" w:date="2020-10-08T17:40:00Z">
        <w:r w:rsidDel="009D518E">
          <w:rPr>
            <w:rFonts w:ascii="Arial" w:eastAsia="Arial" w:hAnsi="Arial" w:cs="Arial"/>
            <w:sz w:val="24"/>
          </w:rPr>
          <w:delText xml:space="preserve">Estimated cost of collection </w:delText>
        </w:r>
      </w:del>
    </w:p>
    <w:p w:rsidR="0030740C" w:rsidDel="009D518E" w:rsidRDefault="009D518E" w:rsidP="00D36704">
      <w:pPr>
        <w:numPr>
          <w:ilvl w:val="0"/>
          <w:numId w:val="2"/>
        </w:numPr>
        <w:spacing w:after="29" w:line="249" w:lineRule="auto"/>
        <w:ind w:left="540" w:right="270" w:hanging="450"/>
        <w:rPr>
          <w:del w:id="95" w:author="Nguyen, Hoa" w:date="2020-10-08T17:40:00Z"/>
        </w:rPr>
      </w:pPr>
      <w:del w:id="96" w:author="Nguyen, Hoa" w:date="2020-10-08T17:40:00Z">
        <w:r w:rsidDel="009D518E">
          <w:rPr>
            <w:rFonts w:ascii="Arial" w:eastAsia="Arial" w:hAnsi="Arial" w:cs="Arial"/>
            <w:sz w:val="24"/>
          </w:rPr>
          <w:delText xml:space="preserve">Any other fact(s) supporting the request, including offset attempts (See SAM section 8790) </w:delText>
        </w:r>
      </w:del>
    </w:p>
    <w:p w:rsidR="0030740C" w:rsidDel="009D518E" w:rsidRDefault="009D518E" w:rsidP="00D36704">
      <w:pPr>
        <w:numPr>
          <w:ilvl w:val="0"/>
          <w:numId w:val="2"/>
        </w:numPr>
        <w:spacing w:after="36" w:line="240" w:lineRule="auto"/>
        <w:ind w:left="540" w:right="270" w:hanging="450"/>
        <w:rPr>
          <w:del w:id="97" w:author="Nguyen, Hoa" w:date="2020-10-08T17:40:00Z"/>
        </w:rPr>
      </w:pPr>
      <w:del w:id="98" w:author="Nguyen, Hoa" w:date="2020-10-08T17:40:00Z">
        <w:r w:rsidDel="009D518E">
          <w:rPr>
            <w:rFonts w:ascii="Arial" w:eastAsia="Arial" w:hAnsi="Arial" w:cs="Arial"/>
            <w:sz w:val="24"/>
          </w:rPr>
          <w:delText xml:space="preserve">If the discharge from accountability is due to bankruptcy, the supporting documentation must include a copy of the court’s final discharge of the debtor and evidence that the specific department is included in the petition for bankruptcy. </w:delText>
        </w:r>
      </w:del>
    </w:p>
    <w:p w:rsidR="0030740C" w:rsidDel="009D518E" w:rsidRDefault="009D518E" w:rsidP="00D36704">
      <w:pPr>
        <w:numPr>
          <w:ilvl w:val="0"/>
          <w:numId w:val="2"/>
        </w:numPr>
        <w:spacing w:after="29" w:line="249" w:lineRule="auto"/>
        <w:ind w:left="540" w:right="270" w:hanging="450"/>
        <w:rPr>
          <w:del w:id="99" w:author="Nguyen, Hoa" w:date="2020-10-08T17:40:00Z"/>
        </w:rPr>
      </w:pPr>
      <w:del w:id="100" w:author="Nguyen, Hoa" w:date="2020-10-08T17:40:00Z">
        <w:r w:rsidDel="009D518E">
          <w:rPr>
            <w:rFonts w:ascii="Arial" w:eastAsia="Arial" w:hAnsi="Arial" w:cs="Arial"/>
            <w:sz w:val="24"/>
          </w:rPr>
          <w:delText xml:space="preserve">Signature, phone number, printed name, and title of person completing the STD. 27 </w:delText>
        </w:r>
      </w:del>
    </w:p>
    <w:p w:rsidR="0030740C" w:rsidDel="009D518E" w:rsidRDefault="009D518E" w:rsidP="00D36704">
      <w:pPr>
        <w:numPr>
          <w:ilvl w:val="0"/>
          <w:numId w:val="2"/>
        </w:numPr>
        <w:spacing w:after="427" w:line="249" w:lineRule="auto"/>
        <w:ind w:left="540" w:right="270" w:hanging="450"/>
        <w:rPr>
          <w:del w:id="101" w:author="Nguyen, Hoa" w:date="2020-10-08T17:40:00Z"/>
        </w:rPr>
      </w:pPr>
      <w:del w:id="102" w:author="Nguyen, Hoa" w:date="2020-10-08T17:40:00Z">
        <w:r w:rsidDel="009D518E">
          <w:rPr>
            <w:rFonts w:ascii="Arial" w:eastAsia="Arial" w:hAnsi="Arial" w:cs="Arial"/>
            <w:sz w:val="24"/>
          </w:rPr>
          <w:delText xml:space="preserve">Signature, printed name, and title of manager authorizing the STD. 27 </w:delText>
        </w:r>
      </w:del>
    </w:p>
    <w:p w:rsidR="0030740C" w:rsidDel="009D518E" w:rsidRDefault="009D518E" w:rsidP="009D518E">
      <w:pPr>
        <w:spacing w:after="267" w:line="249" w:lineRule="auto"/>
        <w:ind w:left="7" w:hanging="10"/>
        <w:rPr>
          <w:del w:id="103" w:author="Nguyen, Hoa" w:date="2020-10-08T17:40:00Z"/>
        </w:rPr>
      </w:pPr>
      <w:del w:id="104" w:author="Nguyen, Hoa" w:date="2020-10-08T17:40:00Z">
        <w:r w:rsidDel="009D518E">
          <w:rPr>
            <w:rFonts w:ascii="Arial" w:eastAsia="Arial" w:hAnsi="Arial" w:cs="Arial"/>
            <w:sz w:val="24"/>
          </w:rPr>
          <w:delText xml:space="preserve">The individual authorizing the Application for Discharge from Accountability should be at a level at least equivalent to that of manager of the accounting office. </w:delText>
        </w:r>
      </w:del>
    </w:p>
    <w:p w:rsidR="0030740C" w:rsidDel="009D518E" w:rsidRDefault="009D518E">
      <w:pPr>
        <w:spacing w:after="267" w:line="249" w:lineRule="auto"/>
        <w:ind w:left="7" w:hanging="10"/>
        <w:rPr>
          <w:del w:id="105" w:author="Nguyen, Hoa" w:date="2020-10-08T17:40:00Z"/>
        </w:rPr>
        <w:pPrChange w:id="106" w:author="Nguyen, Hoa" w:date="2020-10-08T17:40:00Z">
          <w:pPr>
            <w:spacing w:after="111" w:line="249" w:lineRule="auto"/>
            <w:ind w:left="120" w:right="270" w:hanging="10"/>
          </w:pPr>
        </w:pPrChange>
      </w:pPr>
      <w:del w:id="107" w:author="Nguyen, Hoa" w:date="2020-10-08T17:40:00Z">
        <w:r w:rsidDel="009D518E">
          <w:rPr>
            <w:rFonts w:ascii="Arial" w:eastAsia="Arial" w:hAnsi="Arial" w:cs="Arial"/>
            <w:sz w:val="24"/>
          </w:rPr>
          <w:delText>For AR amounts of $500 or less, GC sectio</w:delText>
        </w:r>
        <w:r w:rsidDel="009D518E">
          <w:fldChar w:fldCharType="begin"/>
        </w:r>
        <w:r w:rsidDel="009D518E">
          <w:delInstrText xml:space="preserve"> HYPERLINK "http://leginfo.legislature.ca.gov/faces/codes_displaySection.xhtml?lawCode=GOV&amp;sectionNum=12438" \h </w:delInstrText>
        </w:r>
        <w:r w:rsidDel="009D518E">
          <w:fldChar w:fldCharType="separate"/>
        </w:r>
        <w:r w:rsidDel="009D518E">
          <w:rPr>
            <w:rFonts w:ascii="Arial" w:eastAsia="Arial" w:hAnsi="Arial" w:cs="Arial"/>
            <w:sz w:val="24"/>
          </w:rPr>
          <w:delText xml:space="preserve">n </w:delText>
        </w:r>
        <w:r w:rsidDel="009D518E">
          <w:rPr>
            <w:rFonts w:ascii="Arial" w:eastAsia="Arial" w:hAnsi="Arial" w:cs="Arial"/>
            <w:sz w:val="24"/>
          </w:rPr>
          <w:fldChar w:fldCharType="end"/>
        </w:r>
        <w:r w:rsidDel="009D518E">
          <w:fldChar w:fldCharType="begin"/>
        </w:r>
        <w:r w:rsidDel="009D518E">
          <w:delInstrText xml:space="preserve"> HYPERLINK "http://leginfo.legislature.ca.gov/faces/codes_displaySection.xhtml?lawCode=GOV&amp;sectionNum=12438" \h </w:delInstrText>
        </w:r>
        <w:r w:rsidDel="009D518E">
          <w:fldChar w:fldCharType="separate"/>
        </w:r>
        <w:r w:rsidDel="009D518E">
          <w:rPr>
            <w:rFonts w:ascii="Arial" w:eastAsia="Arial" w:hAnsi="Arial" w:cs="Arial"/>
            <w:color w:val="0000FF"/>
            <w:sz w:val="24"/>
            <w:u w:val="single" w:color="0000FF"/>
          </w:rPr>
          <w:delText>12438</w:delText>
        </w:r>
        <w:r w:rsidDel="009D518E">
          <w:rPr>
            <w:rFonts w:ascii="Arial" w:eastAsia="Arial" w:hAnsi="Arial" w:cs="Arial"/>
            <w:color w:val="0000FF"/>
            <w:sz w:val="24"/>
            <w:u w:val="single" w:color="0000FF"/>
          </w:rPr>
          <w:fldChar w:fldCharType="end"/>
        </w:r>
        <w:r w:rsidDel="009D518E">
          <w:fldChar w:fldCharType="begin"/>
        </w:r>
        <w:r w:rsidDel="009D518E">
          <w:delInstrText xml:space="preserve"> HYPERLINK "http://leginfo.legislature.ca.gov/faces/codes_displaySection.xhtml?lawCode=GOV&amp;sectionNum=12438" \h </w:delInstrText>
        </w:r>
        <w:r w:rsidDel="009D518E">
          <w:fldChar w:fldCharType="separate"/>
        </w:r>
        <w:r w:rsidDel="009D518E">
          <w:rPr>
            <w:rFonts w:ascii="Arial" w:eastAsia="Arial" w:hAnsi="Arial" w:cs="Arial"/>
            <w:color w:val="0000FF"/>
            <w:sz w:val="24"/>
          </w:rPr>
          <w:delText xml:space="preserve"> </w:delText>
        </w:r>
        <w:r w:rsidDel="009D518E">
          <w:rPr>
            <w:rFonts w:ascii="Arial" w:eastAsia="Arial" w:hAnsi="Arial" w:cs="Arial"/>
            <w:color w:val="0000FF"/>
            <w:sz w:val="24"/>
          </w:rPr>
          <w:fldChar w:fldCharType="end"/>
        </w:r>
        <w:r w:rsidDel="009D518E">
          <w:fldChar w:fldCharType="begin"/>
        </w:r>
        <w:r w:rsidDel="009D518E">
          <w:delInstrText xml:space="preserve"> HYPERLINK "http://leginfo.legislature.ca.gov/faces/codes_displaySection.xhtml?lawCode=GOV&amp;sectionNum=12438" \h </w:delInstrText>
        </w:r>
        <w:r w:rsidDel="009D518E">
          <w:fldChar w:fldCharType="separate"/>
        </w:r>
        <w:r w:rsidDel="009D518E">
          <w:rPr>
            <w:rFonts w:ascii="Arial" w:eastAsia="Arial" w:hAnsi="Arial" w:cs="Arial"/>
            <w:sz w:val="24"/>
          </w:rPr>
          <w:delText>a</w:delText>
        </w:r>
        <w:r w:rsidDel="009D518E">
          <w:rPr>
            <w:rFonts w:ascii="Arial" w:eastAsia="Arial" w:hAnsi="Arial" w:cs="Arial"/>
            <w:sz w:val="24"/>
          </w:rPr>
          <w:fldChar w:fldCharType="end"/>
        </w:r>
        <w:r w:rsidDel="009D518E">
          <w:rPr>
            <w:rFonts w:ascii="Arial" w:eastAsia="Arial" w:hAnsi="Arial" w:cs="Arial"/>
            <w:sz w:val="24"/>
          </w:rPr>
          <w:delText>uthorizes</w:delText>
        </w:r>
        <w:r w:rsidDel="009D518E">
          <w:rPr>
            <w:rFonts w:ascii="Arial" w:eastAsia="Arial" w:hAnsi="Arial" w:cs="Arial"/>
            <w:color w:val="0000FF"/>
            <w:sz w:val="24"/>
          </w:rPr>
          <w:delText xml:space="preserve"> </w:delText>
        </w:r>
        <w:r w:rsidDel="009D518E">
          <w:rPr>
            <w:rFonts w:ascii="Arial" w:eastAsia="Arial" w:hAnsi="Arial" w:cs="Arial"/>
            <w:sz w:val="24"/>
          </w:rPr>
          <w:delText xml:space="preserve">state departments to refrain from collecting the AR provided that:  </w:delText>
        </w:r>
      </w:del>
    </w:p>
    <w:p w:rsidR="0030740C" w:rsidDel="009D518E" w:rsidRDefault="009D518E" w:rsidP="00D36704">
      <w:pPr>
        <w:spacing w:after="267" w:line="249" w:lineRule="auto"/>
        <w:ind w:left="540" w:hanging="540"/>
        <w:rPr>
          <w:del w:id="108" w:author="Nguyen, Hoa" w:date="2020-10-08T17:40:00Z"/>
        </w:rPr>
        <w:pPrChange w:id="109" w:author="Nguyen, Hoa" w:date="2020-10-08T17:40:00Z">
          <w:pPr>
            <w:numPr>
              <w:numId w:val="3"/>
            </w:numPr>
            <w:spacing w:after="29" w:line="249" w:lineRule="auto"/>
            <w:ind w:left="571" w:right="266" w:hanging="360"/>
          </w:pPr>
        </w:pPrChange>
      </w:pPr>
      <w:del w:id="110" w:author="Nguyen, Hoa" w:date="2020-10-08T17:40:00Z">
        <w:r w:rsidDel="009D518E">
          <w:rPr>
            <w:rFonts w:ascii="Arial" w:eastAsia="Arial" w:hAnsi="Arial" w:cs="Arial"/>
            <w:sz w:val="24"/>
          </w:rPr>
          <w:delText>Attempts to collect these ARs are in accordance with SAM section 8776.6</w:delText>
        </w:r>
      </w:del>
    </w:p>
    <w:p w:rsidR="0030740C" w:rsidDel="009D518E" w:rsidRDefault="00D36704" w:rsidP="00D36704">
      <w:pPr>
        <w:spacing w:after="267" w:line="249" w:lineRule="auto"/>
        <w:ind w:left="540" w:hanging="540"/>
        <w:rPr>
          <w:del w:id="111" w:author="Nguyen, Hoa" w:date="2020-10-08T17:40:00Z"/>
        </w:rPr>
        <w:pPrChange w:id="112" w:author="Nguyen, Hoa" w:date="2020-10-08T17:40:00Z">
          <w:pPr>
            <w:numPr>
              <w:numId w:val="3"/>
            </w:numPr>
            <w:spacing w:after="0" w:line="240" w:lineRule="auto"/>
            <w:ind w:left="571" w:right="266" w:hanging="360"/>
          </w:pPr>
        </w:pPrChange>
      </w:pPr>
      <w:ins w:id="113" w:author="Nguyen, Hoa" w:date="2020-10-15T14:03:00Z">
        <w:r>
          <w:rPr>
            <w:noProof/>
          </w:rPr>
          <mc:AlternateContent>
            <mc:Choice Requires="wps">
              <w:drawing>
                <wp:anchor distT="45720" distB="45720" distL="114300" distR="114300" simplePos="0" relativeHeight="251667456" behindDoc="1" locked="0" layoutInCell="1" allowOverlap="1" wp14:anchorId="2A3C7BC1" wp14:editId="6D645DDF">
                  <wp:simplePos x="0" y="0"/>
                  <wp:positionH relativeFrom="margin">
                    <wp:posOffset>5192395</wp:posOffset>
                  </wp:positionH>
                  <wp:positionV relativeFrom="paragraph">
                    <wp:posOffset>531495</wp:posOffset>
                  </wp:positionV>
                  <wp:extent cx="1105204" cy="5143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0E3F" w:rsidRDefault="009C0E3F" w:rsidP="009C0E3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9C0E3F" w:rsidRDefault="009C0E3F" w:rsidP="009C0E3F">
                              <w:pPr>
                                <w:rPr>
                                  <w:rFonts w:ascii="Ink Free" w:hAnsi="Ink Free"/>
                                  <w:sz w:val="18"/>
                                  <w:szCs w:val="18"/>
                                </w:rPr>
                              </w:pPr>
                              <w:r>
                                <w:rPr>
                                  <w:rFonts w:ascii="Ink Free" w:hAnsi="Ink Free"/>
                                  <w:sz w:val="18"/>
                                  <w:szCs w:val="18"/>
                                </w:rPr>
                                <w:t xml:space="preserve">RS   </w:t>
                              </w:r>
                              <w:r w:rsidR="00D36704">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C7BC1" id="Text Box 5" o:spid="_x0000_s1028" type="#_x0000_t202" style="position:absolute;left:0;text-align:left;margin-left:408.85pt;margin-top:41.85pt;width:87pt;height:40.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" stroked="f">
                  <v:textbox>
                    <w:txbxContent>
                      <w:p w:rsidR="009C0E3F" w:rsidRDefault="009C0E3F" w:rsidP="009C0E3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9C0E3F" w:rsidRDefault="009C0E3F" w:rsidP="009C0E3F">
                        <w:pPr>
                          <w:rPr>
                            <w:rFonts w:ascii="Ink Free" w:hAnsi="Ink Free"/>
                            <w:sz w:val="18"/>
                            <w:szCs w:val="18"/>
                          </w:rPr>
                        </w:pPr>
                        <w:r>
                          <w:rPr>
                            <w:rFonts w:ascii="Ink Free" w:hAnsi="Ink Free"/>
                            <w:sz w:val="18"/>
                            <w:szCs w:val="18"/>
                          </w:rPr>
                          <w:t xml:space="preserve">RS   </w:t>
                        </w:r>
                        <w:r w:rsidR="00D36704">
                          <w:rPr>
                            <w:rFonts w:ascii="Ink Free" w:hAnsi="Ink Free"/>
                            <w:sz w:val="18"/>
                            <w:szCs w:val="18"/>
                          </w:rPr>
                          <w:t xml:space="preserve"> 10/27/2020</w:t>
                        </w:r>
                      </w:p>
                    </w:txbxContent>
                  </v:textbox>
                  <w10:wrap anchorx="margin"/>
                </v:shape>
              </w:pict>
            </mc:Fallback>
          </mc:AlternateContent>
        </w:r>
      </w:ins>
      <w:del w:id="114" w:author="Nguyen, Hoa" w:date="2020-10-08T17:40:00Z">
        <w:r w:rsidR="009D518E" w:rsidDel="009D518E">
          <w:rPr>
            <w:rFonts w:ascii="Arial" w:eastAsia="Arial" w:hAnsi="Arial" w:cs="Arial"/>
            <w:sz w:val="24"/>
          </w:rPr>
          <w:delText>Departments will discharge only those debts that have been determined uncollectible or it is not cost beneficial to continue pursuing collection</w:delText>
        </w:r>
      </w:del>
    </w:p>
    <w:p w:rsidR="0030740C" w:rsidDel="009D518E" w:rsidRDefault="009D518E">
      <w:pPr>
        <w:spacing w:after="267" w:line="249" w:lineRule="auto"/>
        <w:ind w:left="7" w:hanging="10"/>
        <w:rPr>
          <w:del w:id="115" w:author="Nguyen, Hoa" w:date="2020-10-08T17:40:00Z"/>
        </w:rPr>
        <w:pPrChange w:id="116" w:author="Nguyen, Hoa" w:date="2020-10-08T17:40:00Z">
          <w:pPr>
            <w:numPr>
              <w:numId w:val="3"/>
            </w:numPr>
            <w:spacing w:after="267" w:line="249" w:lineRule="auto"/>
            <w:ind w:left="571" w:right="266" w:hanging="360"/>
          </w:pPr>
        </w:pPrChange>
      </w:pPr>
      <w:del w:id="117" w:author="Nguyen, Hoa" w:date="2020-10-08T17:40:00Z">
        <w:r w:rsidDel="009D518E">
          <w:rPr>
            <w:rFonts w:ascii="Arial" w:eastAsia="Arial" w:hAnsi="Arial" w:cs="Arial"/>
            <w:sz w:val="24"/>
          </w:rPr>
          <w:delText>Departments understand the discharge from accountability does not release the debtor from the debt owed to the state</w:delText>
        </w:r>
      </w:del>
    </w:p>
    <w:p w:rsidR="0030740C" w:rsidDel="009D518E" w:rsidRDefault="009D518E" w:rsidP="009D518E">
      <w:pPr>
        <w:spacing w:after="267" w:line="249" w:lineRule="auto"/>
        <w:ind w:left="7" w:hanging="10"/>
        <w:rPr>
          <w:del w:id="118" w:author="Nguyen, Hoa" w:date="2020-10-08T17:40:00Z"/>
        </w:rPr>
      </w:pPr>
      <w:del w:id="119" w:author="Nguyen, Hoa" w:date="2020-10-08T17:40:00Z">
        <w:r w:rsidDel="009D518E">
          <w:rPr>
            <w:rFonts w:ascii="Arial" w:eastAsia="Arial" w:hAnsi="Arial" w:cs="Arial"/>
            <w:sz w:val="24"/>
          </w:rPr>
          <w:delText xml:space="preserve">The $500 limitation applies to the total of all amounts owed by the debtor, not to each invoice. </w:delText>
        </w:r>
      </w:del>
    </w:p>
    <w:p w:rsidR="0030740C" w:rsidRDefault="009C0E3F">
      <w:pPr>
        <w:spacing w:after="267" w:line="249" w:lineRule="auto"/>
        <w:ind w:left="7" w:hanging="10"/>
        <w:pPrChange w:id="120" w:author="Nguyen, Hoa" w:date="2020-10-08T17:40:00Z">
          <w:pPr>
            <w:spacing w:after="29" w:line="249" w:lineRule="auto"/>
            <w:ind w:left="7" w:right="270" w:hanging="10"/>
          </w:pPr>
        </w:pPrChange>
      </w:pPr>
      <w:ins w:id="121" w:author="Nguyen, Hoa" w:date="2020-10-15T14:03:00Z">
        <w:r>
          <w:rPr>
            <w:noProof/>
          </w:rPr>
          <mc:AlternateContent>
            <mc:Choice Requires="wps">
              <w:drawing>
                <wp:anchor distT="45720" distB="45720" distL="114300" distR="114300" simplePos="0" relativeHeight="251663360" behindDoc="1" locked="0" layoutInCell="1" allowOverlap="1" wp14:anchorId="2A3C7BC1" wp14:editId="6D645DDF">
                  <wp:simplePos x="0" y="0"/>
                  <wp:positionH relativeFrom="margin">
                    <wp:posOffset>5092065</wp:posOffset>
                  </wp:positionH>
                  <wp:positionV relativeFrom="paragraph">
                    <wp:posOffset>6635115</wp:posOffset>
                  </wp:positionV>
                  <wp:extent cx="1105204" cy="514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0E3F" w:rsidRDefault="009C0E3F" w:rsidP="009C0E3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9C0E3F" w:rsidRDefault="009C0E3F" w:rsidP="009C0E3F">
                              <w:pPr>
                                <w:rPr>
                                  <w:rFonts w:ascii="Ink Free" w:hAnsi="Ink Free"/>
                                  <w:sz w:val="18"/>
                                  <w:szCs w:val="18"/>
                                </w:rPr>
                              </w:pPr>
                              <w:r>
                                <w:rPr>
                                  <w:rFonts w:ascii="Ink Free" w:hAnsi="Ink Free"/>
                                  <w:sz w:val="18"/>
                                  <w:szCs w:val="18"/>
                                </w:rPr>
                                <w:t xml:space="preserve">RS   </w:t>
                              </w:r>
                              <w:r w:rsidR="00D36704">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C7BC1" id="Text Box 3" o:spid="_x0000_s1029" type="#_x0000_t202" style="position:absolute;left:0;text-align:left;margin-left:400.95pt;margin-top:522.45pt;width:87pt;height:40.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" stroked="f">
                  <v:textbox>
                    <w:txbxContent>
                      <w:p w:rsidR="009C0E3F" w:rsidRDefault="009C0E3F" w:rsidP="009C0E3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9C0E3F" w:rsidRDefault="009C0E3F" w:rsidP="009C0E3F">
                        <w:pPr>
                          <w:rPr>
                            <w:rFonts w:ascii="Ink Free" w:hAnsi="Ink Free"/>
                            <w:sz w:val="18"/>
                            <w:szCs w:val="18"/>
                          </w:rPr>
                        </w:pPr>
                        <w:r>
                          <w:rPr>
                            <w:rFonts w:ascii="Ink Free" w:hAnsi="Ink Free"/>
                            <w:sz w:val="18"/>
                            <w:szCs w:val="18"/>
                          </w:rPr>
                          <w:t xml:space="preserve">RS   </w:t>
                        </w:r>
                        <w:r w:rsidR="00D36704">
                          <w:rPr>
                            <w:rFonts w:ascii="Ink Free" w:hAnsi="Ink Free"/>
                            <w:sz w:val="18"/>
                            <w:szCs w:val="18"/>
                          </w:rPr>
                          <w:t>10/27/2020</w:t>
                        </w:r>
                      </w:p>
                    </w:txbxContent>
                  </v:textbox>
                  <w10:wrap anchorx="margin"/>
                </v:shape>
              </w:pict>
            </mc:Fallback>
          </mc:AlternateContent>
        </w:r>
      </w:ins>
      <w:del w:id="122" w:author="Nguyen, Hoa" w:date="2020-10-08T17:40:00Z">
        <w:r w:rsidR="009D518E" w:rsidDel="009D518E">
          <w:rPr>
            <w:rFonts w:ascii="Arial" w:eastAsia="Arial" w:hAnsi="Arial" w:cs="Arial"/>
            <w:sz w:val="24"/>
          </w:rPr>
          <w:delText xml:space="preserve">The California State Universities must refer to Education Code section </w:delText>
        </w:r>
        <w:r w:rsidR="009D518E" w:rsidDel="009D518E">
          <w:fldChar w:fldCharType="begin"/>
        </w:r>
        <w:r w:rsidR="009D518E" w:rsidDel="009D518E">
          <w:delInstrText xml:space="preserve"> HYPERLINK "http://leginfo.legislature.ca.gov/faces/codes_displaySection.xhtml?lawCode=EDC&amp;amp;sectionNum=89750.5" \h </w:delInstrText>
        </w:r>
        <w:r w:rsidR="009D518E" w:rsidDel="009D518E">
          <w:fldChar w:fldCharType="separate"/>
        </w:r>
        <w:r w:rsidR="009D518E" w:rsidDel="009D518E">
          <w:rPr>
            <w:rFonts w:ascii="Arial" w:eastAsia="Arial" w:hAnsi="Arial" w:cs="Arial"/>
            <w:color w:val="0000FF"/>
            <w:sz w:val="24"/>
            <w:u w:val="single" w:color="0000FF"/>
          </w:rPr>
          <w:delText xml:space="preserve">89750.5 </w:delText>
        </w:r>
        <w:r w:rsidR="009D518E" w:rsidDel="009D518E">
          <w:rPr>
            <w:rFonts w:ascii="Arial" w:eastAsia="Arial" w:hAnsi="Arial" w:cs="Arial"/>
            <w:color w:val="0000FF"/>
            <w:sz w:val="24"/>
            <w:u w:val="single" w:color="0000FF"/>
          </w:rPr>
          <w:fldChar w:fldCharType="end"/>
        </w:r>
        <w:r w:rsidR="009D518E" w:rsidDel="009D518E">
          <w:fldChar w:fldCharType="begin"/>
        </w:r>
        <w:r w:rsidR="009D518E" w:rsidDel="009D518E">
          <w:delInstrText xml:space="preserve"> HYPERLINK "http://leginfo.legislature.ca.gov/faces/codes_displaySection.xhtml?lawCode=EDC&amp;amp;sectionNum=89750.5" \h </w:delInstrText>
        </w:r>
        <w:r w:rsidR="009D518E" w:rsidDel="009D518E">
          <w:fldChar w:fldCharType="separate"/>
        </w:r>
        <w:r w:rsidR="009D518E" w:rsidDel="009D518E">
          <w:rPr>
            <w:rFonts w:ascii="Arial" w:eastAsia="Arial" w:hAnsi="Arial" w:cs="Arial"/>
            <w:sz w:val="24"/>
          </w:rPr>
          <w:delText>f</w:delText>
        </w:r>
        <w:r w:rsidR="009D518E" w:rsidDel="009D518E">
          <w:rPr>
            <w:rFonts w:ascii="Arial" w:eastAsia="Arial" w:hAnsi="Arial" w:cs="Arial"/>
            <w:sz w:val="24"/>
          </w:rPr>
          <w:fldChar w:fldCharType="end"/>
        </w:r>
        <w:r w:rsidR="009D518E" w:rsidDel="009D518E">
          <w:rPr>
            <w:rFonts w:ascii="Arial" w:eastAsia="Arial" w:hAnsi="Arial" w:cs="Arial"/>
            <w:sz w:val="24"/>
          </w:rPr>
          <w:delText>or application limitations.</w:delText>
        </w:r>
      </w:del>
      <w:r w:rsidR="009D518E">
        <w:rPr>
          <w:rFonts w:ascii="Arial" w:eastAsia="Arial" w:hAnsi="Arial" w:cs="Arial"/>
          <w:sz w:val="24"/>
        </w:rPr>
        <w:t xml:space="preserve"> </w:t>
      </w:r>
    </w:p>
    <w:sectPr w:rsidR="0030740C" w:rsidSect="006300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26" w:header="576"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ECA" w:rsidRDefault="009D518E">
      <w:pPr>
        <w:spacing w:after="0" w:line="240" w:lineRule="auto"/>
      </w:pPr>
      <w:r>
        <w:separator/>
      </w:r>
    </w:p>
  </w:endnote>
  <w:endnote w:type="continuationSeparator" w:id="0">
    <w:p w:rsidR="00C25ECA" w:rsidRDefault="009D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0C" w:rsidRDefault="009D518E">
    <w:pPr>
      <w:spacing w:after="0"/>
      <w:ind w:left="336"/>
      <w:jc w:val="center"/>
    </w:pPr>
    <w:del w:id="123" w:author="Nguyen, Hoa" w:date="2020-10-15T14:03:00Z">
      <w:r w:rsidDel="009C0E3F">
        <w:rPr>
          <w:rFonts w:ascii="Arial" w:eastAsia="Arial" w:hAnsi="Arial" w:cs="Arial"/>
          <w:b/>
          <w:sz w:val="24"/>
        </w:rPr>
        <w:delText xml:space="preserve">Rev. 434 </w:delText>
      </w:r>
    </w:del>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0C" w:rsidRDefault="009D518E">
    <w:pPr>
      <w:spacing w:after="0"/>
      <w:ind w:left="336"/>
      <w:jc w:val="center"/>
    </w:pPr>
    <w:del w:id="124" w:author="Nguyen, Hoa" w:date="2020-10-15T14:03:00Z">
      <w:r w:rsidDel="009C0E3F">
        <w:rPr>
          <w:rFonts w:ascii="Arial" w:eastAsia="Arial" w:hAnsi="Arial" w:cs="Arial"/>
          <w:b/>
          <w:sz w:val="24"/>
        </w:rPr>
        <w:delText xml:space="preserve">Rev. 434 </w:delText>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0C" w:rsidRDefault="009D518E">
    <w:pPr>
      <w:spacing w:after="0"/>
      <w:ind w:left="336"/>
      <w:jc w:val="center"/>
    </w:pPr>
    <w:r>
      <w:rPr>
        <w:rFonts w:ascii="Arial" w:eastAsia="Arial" w:hAnsi="Arial" w:cs="Arial"/>
        <w:b/>
        <w:sz w:val="24"/>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ECA" w:rsidRDefault="009D518E">
      <w:pPr>
        <w:spacing w:after="0" w:line="240" w:lineRule="auto"/>
      </w:pPr>
      <w:r>
        <w:separator/>
      </w:r>
    </w:p>
  </w:footnote>
  <w:footnote w:type="continuationSeparator" w:id="0">
    <w:p w:rsidR="00C25ECA" w:rsidRDefault="009D5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0C" w:rsidRDefault="009D518E">
    <w:pPr>
      <w:spacing w:after="424"/>
      <w:ind w:left="334"/>
      <w:jc w:val="center"/>
    </w:pPr>
    <w:r>
      <w:rPr>
        <w:rFonts w:ascii="Arial" w:eastAsia="Arial" w:hAnsi="Arial" w:cs="Arial"/>
        <w:b/>
        <w:sz w:val="24"/>
      </w:rPr>
      <w:t xml:space="preserve">SAM-MISCELLANEOUS ACCOUNTING PROCEDURES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0C" w:rsidRDefault="009D518E" w:rsidP="00630046">
    <w:pPr>
      <w:spacing w:after="100" w:afterAutospacing="1"/>
      <w:ind w:left="288"/>
      <w:jc w:val="center"/>
    </w:pPr>
    <w:r>
      <w:rPr>
        <w:rFonts w:ascii="Arial" w:eastAsia="Arial" w:hAnsi="Arial" w:cs="Arial"/>
        <w:b/>
        <w:sz w:val="24"/>
      </w:rPr>
      <w:t xml:space="preserve">SAM-MISCELLANEOUS ACCOUNTING PROCEDURES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0C" w:rsidRDefault="009D518E">
    <w:pPr>
      <w:spacing w:after="424"/>
      <w:ind w:left="334"/>
      <w:jc w:val="center"/>
    </w:pPr>
    <w:r>
      <w:rPr>
        <w:rFonts w:ascii="Arial" w:eastAsia="Arial" w:hAnsi="Arial" w:cs="Arial"/>
        <w:b/>
        <w:sz w:val="24"/>
      </w:rPr>
      <w:t xml:space="preserve">SAM-MISCELLANEOUS ACCOUNTING PROCEDURES </w:t>
    </w:r>
  </w:p>
  <w:p w:rsidR="0030740C" w:rsidRDefault="009D518E">
    <w:pPr>
      <w:spacing w:after="17"/>
      <w:ind w:left="10"/>
    </w:pPr>
    <w:r>
      <w:rPr>
        <w:rFonts w:ascii="Arial" w:eastAsia="Arial" w:hAnsi="Arial" w:cs="Arial"/>
        <w:sz w:val="24"/>
      </w:rPr>
      <w:t xml:space="preserve">(Continued) </w:t>
    </w:r>
  </w:p>
  <w:p w:rsidR="0030740C" w:rsidRDefault="009D518E">
    <w:pPr>
      <w:tabs>
        <w:tab w:val="right" w:pos="9370"/>
      </w:tabs>
      <w:spacing w:after="0"/>
      <w:ind w:right="-328"/>
    </w:pPr>
    <w:r>
      <w:rPr>
        <w:rFonts w:ascii="Arial" w:eastAsia="Arial" w:hAnsi="Arial" w:cs="Arial"/>
        <w:b/>
        <w:sz w:val="24"/>
      </w:rPr>
      <w:t xml:space="preserve">NONEMPLOYEE ACCOUNTS RECEIVABLE </w:t>
    </w:r>
    <w:r>
      <w:rPr>
        <w:rFonts w:ascii="Arial" w:eastAsia="Arial" w:hAnsi="Arial" w:cs="Arial"/>
        <w:b/>
        <w:sz w:val="24"/>
      </w:rPr>
      <w:tab/>
      <w:t xml:space="preserve">8776.6 </w:t>
    </w:r>
    <w:r>
      <w:rPr>
        <w:rFonts w:ascii="Arial" w:eastAsia="Arial" w:hAnsi="Arial" w:cs="Arial"/>
        <w:sz w:val="24"/>
      </w:rPr>
      <w:t xml:space="preserve">(Cont. </w:t>
    </w: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w:t>
    </w:r>
    <w:r>
      <w:rPr>
        <w:rFonts w:ascii="Arial" w:eastAsia="Arial" w:hAnsi="Arial" w:cs="Arial"/>
        <w:b/>
        <w:sz w:val="24"/>
      </w:rPr>
      <w:t xml:space="preserve"> </w:t>
    </w:r>
  </w:p>
  <w:p w:rsidR="0030740C" w:rsidRDefault="009D518E">
    <w:pPr>
      <w:spacing w:after="0"/>
      <w:ind w:left="10"/>
    </w:pPr>
    <w:r>
      <w:rPr>
        <w:rFonts w:ascii="Arial" w:eastAsia="Arial" w:hAnsi="Arial" w:cs="Arial"/>
        <w:sz w:val="24"/>
      </w:rPr>
      <w:t xml:space="preserve">(Revised 06/2016)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77C2F"/>
    <w:multiLevelType w:val="hybridMultilevel"/>
    <w:tmpl w:val="B918812A"/>
    <w:lvl w:ilvl="0" w:tplc="B37AEB62">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0C4E1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D2FF1A">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F6F80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2C07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1E7F40">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329E9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47FE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B049B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775593"/>
    <w:multiLevelType w:val="hybridMultilevel"/>
    <w:tmpl w:val="54A82F92"/>
    <w:lvl w:ilvl="0" w:tplc="80AA853A">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684C8">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888520">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EAC544">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28EDC6">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666960">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5A773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2EAD7A">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CCDCE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DB04E36"/>
    <w:multiLevelType w:val="hybridMultilevel"/>
    <w:tmpl w:val="8A4023BE"/>
    <w:lvl w:ilvl="0" w:tplc="8902A23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B6009F4">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F48382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15A2308">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AE608C0">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16679E8">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4166840">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E5E9A54">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FA62AB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gh, Rupi">
    <w15:presenceInfo w15:providerId="None" w15:userId="Singh, Rupi"/>
  </w15:person>
  <w15:person w15:author="Nguyen, Hoa">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NzczMDQzNLU0MTZQ0lEKTi0uzszPAykwqgUA+PJmJywAAAA="/>
  </w:docVars>
  <w:rsids>
    <w:rsidRoot w:val="0030740C"/>
    <w:rsid w:val="0030740C"/>
    <w:rsid w:val="00630046"/>
    <w:rsid w:val="00977CAE"/>
    <w:rsid w:val="009C0E3F"/>
    <w:rsid w:val="009D518E"/>
    <w:rsid w:val="00C25ECA"/>
    <w:rsid w:val="00D36704"/>
    <w:rsid w:val="00F8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2F5C7"/>
  <w15:docId w15:val="{A8DBE59A-D7E2-45D4-9FAE-B12CDBC8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line="251" w:lineRule="auto"/>
      <w:ind w:left="22" w:hanging="10"/>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paragraph" w:styleId="BalloonText">
    <w:name w:val="Balloon Text"/>
    <w:basedOn w:val="Normal"/>
    <w:link w:val="BalloonTextChar"/>
    <w:uiPriority w:val="99"/>
    <w:semiHidden/>
    <w:unhideWhenUsed/>
    <w:rsid w:val="009D5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18E"/>
    <w:rPr>
      <w:rFonts w:ascii="Segoe UI" w:eastAsia="Calibri" w:hAnsi="Segoe UI" w:cs="Segoe UI"/>
      <w:color w:val="000000"/>
      <w:sz w:val="18"/>
      <w:szCs w:val="18"/>
    </w:rPr>
  </w:style>
  <w:style w:type="paragraph" w:styleId="Header">
    <w:name w:val="header"/>
    <w:basedOn w:val="Normal"/>
    <w:link w:val="HeaderChar"/>
    <w:uiPriority w:val="99"/>
    <w:semiHidden/>
    <w:unhideWhenUsed/>
    <w:rsid w:val="006300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0046"/>
    <w:rPr>
      <w:rFonts w:ascii="Calibri" w:eastAsia="Calibri" w:hAnsi="Calibri" w:cs="Calibri"/>
      <w:color w:val="000000"/>
    </w:rPr>
  </w:style>
  <w:style w:type="paragraph" w:styleId="NoSpacing">
    <w:name w:val="No Spacing"/>
    <w:uiPriority w:val="1"/>
    <w:qFormat/>
    <w:rsid w:val="0063004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Tyburczy, Jason@DGS</dc:creator>
  <cp:keywords/>
  <cp:lastModifiedBy>Singh, Rupi</cp:lastModifiedBy>
  <cp:revision>6</cp:revision>
  <dcterms:created xsi:type="dcterms:W3CDTF">2020-10-09T00:41:00Z</dcterms:created>
  <dcterms:modified xsi:type="dcterms:W3CDTF">2020-10-28T00:26:00Z</dcterms:modified>
</cp:coreProperties>
</file>